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29557" w14:textId="77777777" w:rsidR="00492689" w:rsidRPr="00492689" w:rsidRDefault="00492689" w:rsidP="00492689">
      <w:pPr>
        <w:spacing w:line="276" w:lineRule="auto"/>
        <w:ind w:left="720"/>
        <w:jc w:val="center"/>
        <w:rPr>
          <w:rFonts w:ascii="Times New Roman" w:hAnsi="Times New Roman"/>
          <w:b/>
          <w:sz w:val="22"/>
          <w:szCs w:val="22"/>
          <w:u w:val="single"/>
        </w:rPr>
      </w:pPr>
      <w:bookmarkStart w:id="0" w:name="_Hlk200973208"/>
      <w:bookmarkStart w:id="1" w:name="_Hlk200973237"/>
      <w:r w:rsidRPr="00492689">
        <w:rPr>
          <w:rFonts w:ascii="Times New Roman" w:hAnsi="Times New Roman"/>
          <w:b/>
          <w:sz w:val="22"/>
          <w:szCs w:val="22"/>
          <w:u w:val="single"/>
        </w:rPr>
        <w:t>PART III – FILING OF DOCUMENTS AND AUTHORITIES</w:t>
      </w:r>
    </w:p>
    <w:bookmarkEnd w:id="0"/>
    <w:p w14:paraId="01E81F6C" w14:textId="77777777" w:rsidR="00492689" w:rsidRPr="00492689" w:rsidRDefault="00492689" w:rsidP="00492689">
      <w:pPr>
        <w:spacing w:line="276" w:lineRule="auto"/>
        <w:ind w:left="4320" w:hanging="360"/>
        <w:jc w:val="both"/>
        <w:rPr>
          <w:rFonts w:ascii="Times New Roman" w:hAnsi="Times New Roman"/>
          <w:b/>
          <w:sz w:val="22"/>
          <w:szCs w:val="22"/>
          <w:u w:val="single"/>
        </w:rPr>
      </w:pPr>
    </w:p>
    <w:p w14:paraId="2034F223" w14:textId="7DCB6807" w:rsidR="00492689" w:rsidRDefault="00492689" w:rsidP="00492689">
      <w:pPr>
        <w:pStyle w:val="BodyText"/>
        <w:spacing w:after="0" w:line="276" w:lineRule="auto"/>
        <w:ind w:left="720"/>
        <w:jc w:val="both"/>
        <w:rPr>
          <w:rFonts w:ascii="Times New Roman" w:hAnsi="Times New Roman"/>
          <w:sz w:val="22"/>
          <w:szCs w:val="22"/>
        </w:rPr>
      </w:pPr>
      <w:r w:rsidRPr="00492689">
        <w:rPr>
          <w:rFonts w:ascii="Times New Roman" w:hAnsi="Times New Roman"/>
          <w:sz w:val="22"/>
          <w:szCs w:val="22"/>
        </w:rPr>
        <w:t xml:space="preserve">The Supreme Court of Prince Edward Island is a court of record. </w:t>
      </w:r>
      <w:r w:rsidRPr="00492689">
        <w:rPr>
          <w:rFonts w:ascii="Times New Roman" w:hAnsi="Times New Roman"/>
          <w:sz w:val="22"/>
          <w:szCs w:val="22"/>
          <w:lang w:val="en-GB"/>
        </w:rPr>
        <w:t xml:space="preserve">The </w:t>
      </w:r>
      <w:r w:rsidRPr="00492689">
        <w:rPr>
          <w:rFonts w:ascii="Times New Roman" w:hAnsi="Times New Roman"/>
          <w:i/>
          <w:iCs/>
          <w:sz w:val="22"/>
          <w:szCs w:val="22"/>
          <w:lang w:val="en-GB"/>
        </w:rPr>
        <w:t>Rules of Civil Procedure</w:t>
      </w:r>
      <w:r w:rsidRPr="00492689">
        <w:rPr>
          <w:rFonts w:ascii="Times New Roman" w:hAnsi="Times New Roman"/>
          <w:sz w:val="22"/>
          <w:szCs w:val="22"/>
          <w:lang w:val="en-GB"/>
        </w:rPr>
        <w:t xml:space="preserve"> set out the </w:t>
      </w:r>
      <w:r w:rsidRPr="00492689">
        <w:rPr>
          <w:rFonts w:ascii="Times New Roman" w:hAnsi="Times New Roman"/>
          <w:sz w:val="22"/>
          <w:szCs w:val="22"/>
        </w:rPr>
        <w:t>requirements</w:t>
      </w:r>
      <w:r w:rsidRPr="00492689">
        <w:rPr>
          <w:rFonts w:ascii="Times New Roman" w:hAnsi="Times New Roman"/>
          <w:sz w:val="22"/>
          <w:szCs w:val="22"/>
          <w:lang w:val="en-GB"/>
        </w:rPr>
        <w:t xml:space="preserve"> for filing documents, as supplemented by Practice Directions. </w:t>
      </w:r>
      <w:r w:rsidRPr="00492689">
        <w:rPr>
          <w:rFonts w:ascii="Times New Roman" w:hAnsi="Times New Roman"/>
          <w:sz w:val="22"/>
          <w:szCs w:val="22"/>
        </w:rPr>
        <w:t xml:space="preserve">There are two methods available for the filing of documents: providing a hard copy in person or by mail; or electronic, where authorized. Documents must be appropriately filed with the Registrar’s office. </w:t>
      </w:r>
      <w:r w:rsidRPr="00492689">
        <w:rPr>
          <w:rFonts w:ascii="Times New Roman" w:hAnsi="Times New Roman"/>
          <w:sz w:val="22"/>
          <w:szCs w:val="22"/>
          <w:lang w:val="en-GB"/>
        </w:rPr>
        <w:t xml:space="preserve">Forwarding documents to a clerk or trial coordinator does not constitute filing with the Registrar’s office. </w:t>
      </w:r>
      <w:r w:rsidRPr="00492689">
        <w:rPr>
          <w:rFonts w:ascii="Times New Roman" w:hAnsi="Times New Roman"/>
          <w:sz w:val="22"/>
          <w:szCs w:val="22"/>
        </w:rPr>
        <w:t>The Practice Directions below address the following: general filing guidance; electronic filing; calculation of time; non-compliance; filing USBs in court; large language models of artificial intelligence; and, authorities.</w:t>
      </w:r>
    </w:p>
    <w:p w14:paraId="0ECA66A7" w14:textId="77777777" w:rsidR="00492689" w:rsidRDefault="00492689" w:rsidP="00492689">
      <w:pPr>
        <w:pStyle w:val="BodyText"/>
        <w:spacing w:after="0" w:line="276" w:lineRule="auto"/>
        <w:rPr>
          <w:rFonts w:ascii="Times New Roman" w:hAnsi="Times New Roman"/>
          <w:b/>
          <w:bCs/>
          <w:sz w:val="22"/>
          <w:szCs w:val="22"/>
        </w:rPr>
      </w:pPr>
    </w:p>
    <w:p w14:paraId="2446DE80" w14:textId="77777777" w:rsidR="00492689" w:rsidRDefault="00492689" w:rsidP="00492689">
      <w:pPr>
        <w:pStyle w:val="BodyText"/>
        <w:spacing w:after="0" w:line="276" w:lineRule="auto"/>
        <w:rPr>
          <w:rFonts w:ascii="Times New Roman" w:hAnsi="Times New Roman"/>
          <w:b/>
          <w:bCs/>
          <w:sz w:val="22"/>
          <w:szCs w:val="22"/>
        </w:rPr>
      </w:pPr>
    </w:p>
    <w:p w14:paraId="068D7A76" w14:textId="78F9BF83" w:rsidR="00E02191" w:rsidRPr="00886BC7" w:rsidRDefault="00E02191" w:rsidP="00E02191">
      <w:pPr>
        <w:pStyle w:val="BodyText"/>
        <w:numPr>
          <w:ilvl w:val="4"/>
          <w:numId w:val="2"/>
        </w:numPr>
        <w:spacing w:after="0" w:line="276" w:lineRule="auto"/>
        <w:rPr>
          <w:rFonts w:ascii="Times New Roman" w:hAnsi="Times New Roman"/>
          <w:b/>
          <w:bCs/>
          <w:sz w:val="22"/>
          <w:szCs w:val="22"/>
        </w:rPr>
      </w:pPr>
      <w:r w:rsidRPr="00886BC7">
        <w:rPr>
          <w:rFonts w:ascii="Times New Roman" w:hAnsi="Times New Roman"/>
          <w:b/>
          <w:bCs/>
          <w:sz w:val="22"/>
          <w:szCs w:val="22"/>
        </w:rPr>
        <w:t>GENERAL FILING GUIDANCE</w:t>
      </w:r>
      <w:bookmarkEnd w:id="1"/>
    </w:p>
    <w:p w14:paraId="7C9FB5D7" w14:textId="77777777" w:rsidR="00E02191" w:rsidRPr="00886BC7" w:rsidRDefault="00E02191" w:rsidP="00E02191">
      <w:pPr>
        <w:pStyle w:val="BodyText"/>
        <w:spacing w:line="276" w:lineRule="auto"/>
        <w:rPr>
          <w:rFonts w:ascii="Times New Roman" w:hAnsi="Times New Roman"/>
          <w:b/>
          <w:bCs/>
          <w:sz w:val="22"/>
          <w:szCs w:val="22"/>
        </w:rPr>
      </w:pPr>
    </w:p>
    <w:p w14:paraId="160FE30F" w14:textId="77777777" w:rsidR="00E02191" w:rsidRPr="00886BC7" w:rsidRDefault="00E02191" w:rsidP="00E0219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/>
          <w:sz w:val="22"/>
          <w:szCs w:val="22"/>
          <w:u w:val="single"/>
        </w:rPr>
      </w:pPr>
      <w:r w:rsidRPr="00886BC7">
        <w:rPr>
          <w:rFonts w:ascii="Times New Roman" w:hAnsi="Times New Roman"/>
          <w:sz w:val="22"/>
          <w:szCs w:val="22"/>
          <w:u w:val="single"/>
        </w:rPr>
        <w:t>Number of Copies</w:t>
      </w:r>
    </w:p>
    <w:p w14:paraId="7A8663ED" w14:textId="77777777" w:rsidR="00E02191" w:rsidRPr="00886BC7" w:rsidRDefault="00E02191" w:rsidP="00E02191">
      <w:pPr>
        <w:spacing w:line="276" w:lineRule="auto"/>
        <w:rPr>
          <w:rFonts w:ascii="Times New Roman" w:hAnsi="Times New Roman"/>
          <w:b/>
          <w:bCs/>
          <w:sz w:val="22"/>
          <w:szCs w:val="22"/>
        </w:rPr>
      </w:pPr>
    </w:p>
    <w:p w14:paraId="293A7C2C" w14:textId="38646033" w:rsidR="00492689" w:rsidRPr="00492689" w:rsidRDefault="00E02191" w:rsidP="00492689">
      <w:pPr>
        <w:spacing w:line="276" w:lineRule="auto"/>
        <w:ind w:left="720"/>
        <w:jc w:val="both"/>
        <w:rPr>
          <w:rFonts w:ascii="Times New Roman" w:hAnsi="Times New Roman"/>
          <w:sz w:val="22"/>
          <w:szCs w:val="22"/>
        </w:rPr>
      </w:pPr>
      <w:r w:rsidRPr="00886BC7">
        <w:rPr>
          <w:rFonts w:ascii="Times New Roman" w:hAnsi="Times New Roman"/>
          <w:sz w:val="22"/>
          <w:szCs w:val="22"/>
        </w:rPr>
        <w:t xml:space="preserve">Lawyers and self-represented parties are to file the correct number of copies of all documents. The court generally requires an original for the court file, a copy for the party filing, and sufficient copies for all other </w:t>
      </w:r>
      <w:r w:rsidR="00492689">
        <w:rPr>
          <w:rFonts w:ascii="Times New Roman" w:hAnsi="Times New Roman"/>
          <w:sz w:val="22"/>
          <w:szCs w:val="22"/>
        </w:rPr>
        <w:t xml:space="preserve">parties. </w:t>
      </w:r>
    </w:p>
    <w:p w14:paraId="10B4851E" w14:textId="43BA658C" w:rsidR="00E02191" w:rsidRPr="00886BC7" w:rsidRDefault="00E02191" w:rsidP="00E02191">
      <w:pPr>
        <w:pStyle w:val="ListParagraph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786399D9" w14:textId="77777777" w:rsidR="00E02191" w:rsidRPr="00886BC7" w:rsidRDefault="00E02191" w:rsidP="00E02191">
      <w:pPr>
        <w:pStyle w:val="ListParagraph"/>
        <w:spacing w:line="276" w:lineRule="auto"/>
        <w:rPr>
          <w:rFonts w:ascii="Times New Roman" w:hAnsi="Times New Roman"/>
          <w:sz w:val="22"/>
          <w:szCs w:val="22"/>
        </w:rPr>
      </w:pPr>
    </w:p>
    <w:p w14:paraId="201224C0" w14:textId="77777777" w:rsidR="00E02191" w:rsidRPr="00886BC7" w:rsidRDefault="00E02191" w:rsidP="00E0219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/>
          <w:sz w:val="22"/>
          <w:szCs w:val="22"/>
          <w:u w:val="single"/>
        </w:rPr>
      </w:pPr>
      <w:r w:rsidRPr="00886BC7">
        <w:rPr>
          <w:rFonts w:ascii="Times New Roman" w:hAnsi="Times New Roman"/>
          <w:sz w:val="22"/>
          <w:szCs w:val="22"/>
          <w:u w:val="single"/>
        </w:rPr>
        <w:t>Front Sheets</w:t>
      </w:r>
    </w:p>
    <w:p w14:paraId="7318AA98" w14:textId="77777777" w:rsidR="00E02191" w:rsidRPr="00886BC7" w:rsidRDefault="00E02191" w:rsidP="00E02191">
      <w:pPr>
        <w:spacing w:line="276" w:lineRule="auto"/>
        <w:rPr>
          <w:rFonts w:ascii="Times New Roman" w:hAnsi="Times New Roman"/>
          <w:b/>
          <w:bCs/>
          <w:sz w:val="22"/>
          <w:szCs w:val="22"/>
        </w:rPr>
      </w:pPr>
    </w:p>
    <w:p w14:paraId="1455890D" w14:textId="77777777" w:rsidR="00E02191" w:rsidRPr="00886BC7" w:rsidRDefault="00E02191" w:rsidP="00E02191">
      <w:pPr>
        <w:pStyle w:val="ListParagraph"/>
        <w:spacing w:line="276" w:lineRule="auto"/>
        <w:jc w:val="both"/>
        <w:rPr>
          <w:rFonts w:ascii="Times New Roman" w:hAnsi="Times New Roman"/>
          <w:sz w:val="22"/>
          <w:szCs w:val="22"/>
          <w:lang w:val="en-GB"/>
        </w:rPr>
      </w:pPr>
      <w:r w:rsidRPr="00886BC7">
        <w:rPr>
          <w:rFonts w:ascii="Times New Roman" w:hAnsi="Times New Roman"/>
          <w:sz w:val="22"/>
          <w:szCs w:val="22"/>
          <w:lang w:val="en-GB"/>
        </w:rPr>
        <w:t xml:space="preserve">Any memorandum, factum, record, appeal book, or other document requiring a front sheet shall emphasize </w:t>
      </w:r>
      <w:r w:rsidRPr="00C167BE">
        <w:rPr>
          <w:rFonts w:ascii="Times New Roman" w:hAnsi="Times New Roman"/>
          <w:sz w:val="22"/>
          <w:szCs w:val="22"/>
          <w:lang w:val="en-GB"/>
        </w:rPr>
        <w:t>(</w:t>
      </w:r>
      <w:r>
        <w:rPr>
          <w:rFonts w:ascii="Times New Roman" w:hAnsi="Times New Roman"/>
          <w:sz w:val="22"/>
          <w:szCs w:val="22"/>
          <w:lang w:val="en-GB"/>
        </w:rPr>
        <w:t xml:space="preserve">in </w:t>
      </w:r>
      <w:r w:rsidRPr="00C167BE">
        <w:rPr>
          <w:rFonts w:ascii="Times New Roman" w:hAnsi="Times New Roman"/>
          <w:b/>
          <w:bCs/>
          <w:sz w:val="22"/>
          <w:szCs w:val="22"/>
          <w:lang w:val="en-GB"/>
        </w:rPr>
        <w:t>bold</w:t>
      </w:r>
      <w:r w:rsidRPr="00C167BE">
        <w:rPr>
          <w:rFonts w:ascii="Times New Roman" w:hAnsi="Times New Roman"/>
          <w:sz w:val="22"/>
          <w:szCs w:val="22"/>
          <w:lang w:val="en-GB"/>
        </w:rPr>
        <w:t>)</w:t>
      </w:r>
      <w:r>
        <w:rPr>
          <w:rFonts w:ascii="Times New Roman" w:hAnsi="Times New Roman"/>
          <w:sz w:val="22"/>
          <w:szCs w:val="22"/>
          <w:lang w:val="en-GB"/>
        </w:rPr>
        <w:t xml:space="preserve"> </w:t>
      </w:r>
      <w:r w:rsidRPr="00886BC7">
        <w:rPr>
          <w:rFonts w:ascii="Times New Roman" w:hAnsi="Times New Roman"/>
          <w:sz w:val="22"/>
          <w:szCs w:val="22"/>
          <w:lang w:val="en-GB"/>
        </w:rPr>
        <w:t>on the front sheet the name and contact information of the party filing the document.</w:t>
      </w:r>
    </w:p>
    <w:p w14:paraId="307766B4" w14:textId="77777777" w:rsidR="00E02191" w:rsidRPr="00886BC7" w:rsidRDefault="00E02191" w:rsidP="00E02191">
      <w:pPr>
        <w:spacing w:line="276" w:lineRule="auto"/>
        <w:jc w:val="both"/>
        <w:rPr>
          <w:rFonts w:ascii="Times New Roman" w:hAnsi="Times New Roman"/>
          <w:sz w:val="22"/>
          <w:szCs w:val="22"/>
          <w:lang w:val="en-GB"/>
        </w:rPr>
      </w:pPr>
    </w:p>
    <w:p w14:paraId="6FABDCF5" w14:textId="77777777" w:rsidR="00E02191" w:rsidRPr="003F781D" w:rsidRDefault="00E02191" w:rsidP="00E02191">
      <w:pPr>
        <w:pStyle w:val="ListParagraph"/>
        <w:numPr>
          <w:ilvl w:val="0"/>
          <w:numId w:val="1"/>
        </w:numPr>
        <w:tabs>
          <w:tab w:val="left" w:pos="-1440"/>
        </w:tabs>
        <w:spacing w:line="276" w:lineRule="auto"/>
        <w:jc w:val="both"/>
        <w:rPr>
          <w:rFonts w:ascii="Times New Roman" w:hAnsi="Times New Roman"/>
          <w:sz w:val="22"/>
          <w:szCs w:val="22"/>
          <w:u w:val="single"/>
          <w:lang w:val="en-GB"/>
        </w:rPr>
      </w:pPr>
      <w:r w:rsidRPr="003F781D">
        <w:rPr>
          <w:rFonts w:ascii="Times New Roman" w:hAnsi="Times New Roman"/>
          <w:sz w:val="22"/>
          <w:szCs w:val="22"/>
          <w:u w:val="single"/>
          <w:lang w:val="en-GB"/>
        </w:rPr>
        <w:t>Affidavits</w:t>
      </w:r>
    </w:p>
    <w:p w14:paraId="2F488D7A" w14:textId="77777777" w:rsidR="00E02191" w:rsidRPr="003F781D" w:rsidRDefault="00E02191" w:rsidP="00E02191">
      <w:pPr>
        <w:tabs>
          <w:tab w:val="left" w:pos="-1440"/>
        </w:tabs>
        <w:spacing w:line="276" w:lineRule="auto"/>
        <w:ind w:left="720" w:hanging="720"/>
        <w:jc w:val="both"/>
        <w:rPr>
          <w:rFonts w:ascii="Times New Roman" w:hAnsi="Times New Roman"/>
          <w:b/>
          <w:bCs/>
          <w:sz w:val="22"/>
          <w:szCs w:val="22"/>
          <w:lang w:val="en-GB"/>
        </w:rPr>
      </w:pPr>
    </w:p>
    <w:p w14:paraId="0D685F82" w14:textId="77777777" w:rsidR="00E02191" w:rsidRPr="003F781D" w:rsidRDefault="00E02191" w:rsidP="00E02191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2"/>
          <w:szCs w:val="22"/>
          <w:lang w:val="en-GB"/>
        </w:rPr>
      </w:pPr>
      <w:r w:rsidRPr="003F781D">
        <w:rPr>
          <w:rFonts w:ascii="Times New Roman" w:hAnsi="Times New Roman"/>
          <w:sz w:val="22"/>
          <w:szCs w:val="22"/>
          <w:lang w:val="en-GB"/>
        </w:rPr>
        <w:t>Lawyers and self-represented parties should avoid including a page in an affidavit which contains only the signature(s).</w:t>
      </w:r>
    </w:p>
    <w:p w14:paraId="7824BE10" w14:textId="77777777" w:rsidR="00E02191" w:rsidRDefault="00E02191" w:rsidP="00E02191">
      <w:pPr>
        <w:pStyle w:val="ListParagraph"/>
        <w:spacing w:line="276" w:lineRule="auto"/>
        <w:ind w:left="1080"/>
        <w:jc w:val="both"/>
        <w:rPr>
          <w:rFonts w:ascii="Times New Roman" w:hAnsi="Times New Roman"/>
          <w:sz w:val="22"/>
          <w:szCs w:val="22"/>
          <w:lang w:val="en-GB"/>
        </w:rPr>
      </w:pPr>
    </w:p>
    <w:p w14:paraId="349C62BA" w14:textId="77777777" w:rsidR="00E02191" w:rsidRPr="00886BC7" w:rsidRDefault="00E02191" w:rsidP="00E02191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2"/>
          <w:szCs w:val="22"/>
          <w:lang w:val="en-GB"/>
        </w:rPr>
      </w:pPr>
      <w:r w:rsidRPr="00886BC7">
        <w:rPr>
          <w:rFonts w:ascii="Times New Roman" w:hAnsi="Times New Roman"/>
          <w:sz w:val="22"/>
          <w:szCs w:val="22"/>
          <w:lang w:val="en-GB"/>
        </w:rPr>
        <w:t xml:space="preserve">When filing an affidavit that has an exhibit attached, the exhibit stamp is to be on the exhibit </w:t>
      </w:r>
      <w:r>
        <w:rPr>
          <w:rFonts w:ascii="Times New Roman" w:hAnsi="Times New Roman"/>
          <w:sz w:val="22"/>
          <w:szCs w:val="22"/>
          <w:lang w:val="en-GB"/>
        </w:rPr>
        <w:t>(</w:t>
      </w:r>
      <w:r w:rsidRPr="00886BC7">
        <w:rPr>
          <w:rFonts w:ascii="Times New Roman" w:hAnsi="Times New Roman"/>
          <w:sz w:val="22"/>
          <w:szCs w:val="22"/>
          <w:lang w:val="en-GB"/>
        </w:rPr>
        <w:t>not on a separate piece of paper attached to the exhibit</w:t>
      </w:r>
      <w:r>
        <w:rPr>
          <w:rFonts w:ascii="Times New Roman" w:hAnsi="Times New Roman"/>
          <w:sz w:val="22"/>
          <w:szCs w:val="22"/>
          <w:lang w:val="en-GB"/>
        </w:rPr>
        <w:t>),</w:t>
      </w:r>
      <w:r w:rsidRPr="00886BC7">
        <w:rPr>
          <w:rFonts w:ascii="Times New Roman" w:hAnsi="Times New Roman"/>
          <w:sz w:val="22"/>
          <w:szCs w:val="22"/>
          <w:lang w:val="en-GB"/>
        </w:rPr>
        <w:t xml:space="preserve"> unless it is not feasible or appropriate to include the stamp on the exhibit.</w:t>
      </w:r>
    </w:p>
    <w:p w14:paraId="6E84373C" w14:textId="77777777" w:rsidR="00E02191" w:rsidRPr="00886BC7" w:rsidRDefault="00E02191" w:rsidP="00E02191">
      <w:pPr>
        <w:spacing w:line="276" w:lineRule="auto"/>
        <w:jc w:val="both"/>
        <w:rPr>
          <w:rFonts w:ascii="Times New Roman" w:hAnsi="Times New Roman"/>
          <w:sz w:val="22"/>
          <w:szCs w:val="22"/>
          <w:lang w:val="en-GB"/>
        </w:rPr>
      </w:pPr>
    </w:p>
    <w:p w14:paraId="6147E571" w14:textId="77777777" w:rsidR="00E02191" w:rsidRPr="00886BC7" w:rsidRDefault="00E02191" w:rsidP="00E02191">
      <w:pPr>
        <w:pStyle w:val="BodyTex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2"/>
          <w:szCs w:val="22"/>
          <w:u w:val="single"/>
        </w:rPr>
      </w:pPr>
      <w:r w:rsidRPr="00886BC7">
        <w:rPr>
          <w:rFonts w:ascii="Times New Roman" w:hAnsi="Times New Roman"/>
          <w:sz w:val="22"/>
          <w:szCs w:val="22"/>
          <w:u w:val="single"/>
        </w:rPr>
        <w:t>Delivery of Documents</w:t>
      </w:r>
    </w:p>
    <w:p w14:paraId="1E3A0894" w14:textId="77777777" w:rsidR="00E02191" w:rsidRPr="00886BC7" w:rsidRDefault="00E02191" w:rsidP="00E02191">
      <w:pPr>
        <w:pStyle w:val="BodyText"/>
        <w:spacing w:line="276" w:lineRule="auto"/>
        <w:rPr>
          <w:rFonts w:ascii="Times New Roman" w:hAnsi="Times New Roman"/>
          <w:b/>
          <w:bCs/>
          <w:sz w:val="22"/>
          <w:szCs w:val="22"/>
        </w:rPr>
      </w:pPr>
    </w:p>
    <w:p w14:paraId="3367D827" w14:textId="77777777" w:rsidR="00E02191" w:rsidRPr="00886BC7" w:rsidRDefault="00E02191" w:rsidP="00E02191">
      <w:pPr>
        <w:pStyle w:val="BodyText"/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886BC7">
        <w:rPr>
          <w:rFonts w:ascii="Times New Roman" w:hAnsi="Times New Roman"/>
          <w:sz w:val="22"/>
          <w:szCs w:val="22"/>
        </w:rPr>
        <w:t xml:space="preserve">From time to time the </w:t>
      </w:r>
      <w:r>
        <w:rPr>
          <w:rFonts w:ascii="Times New Roman" w:hAnsi="Times New Roman"/>
          <w:sz w:val="22"/>
          <w:szCs w:val="22"/>
        </w:rPr>
        <w:t>presiding judge is not</w:t>
      </w:r>
      <w:r w:rsidRPr="00886BC7">
        <w:rPr>
          <w:rFonts w:ascii="Times New Roman" w:hAnsi="Times New Roman"/>
          <w:sz w:val="22"/>
          <w:szCs w:val="22"/>
        </w:rPr>
        <w:t xml:space="preserve"> aware of documents that </w:t>
      </w:r>
      <w:r>
        <w:rPr>
          <w:rFonts w:ascii="Times New Roman" w:hAnsi="Times New Roman"/>
          <w:sz w:val="22"/>
          <w:szCs w:val="22"/>
        </w:rPr>
        <w:t>have been</w:t>
      </w:r>
      <w:r w:rsidRPr="00886BC7">
        <w:rPr>
          <w:rFonts w:ascii="Times New Roman" w:hAnsi="Times New Roman"/>
          <w:sz w:val="22"/>
          <w:szCs w:val="22"/>
        </w:rPr>
        <w:t xml:space="preserve"> filed with the Registrar</w:t>
      </w:r>
      <w:r>
        <w:rPr>
          <w:rFonts w:ascii="Times New Roman" w:hAnsi="Times New Roman"/>
          <w:sz w:val="22"/>
          <w:szCs w:val="22"/>
        </w:rPr>
        <w:t>’s office</w:t>
      </w:r>
      <w:r w:rsidRPr="00886BC7">
        <w:rPr>
          <w:rFonts w:ascii="Times New Roman" w:hAnsi="Times New Roman"/>
          <w:sz w:val="22"/>
          <w:szCs w:val="22"/>
        </w:rPr>
        <w:t xml:space="preserve"> until </w:t>
      </w:r>
      <w:r>
        <w:rPr>
          <w:rFonts w:ascii="Times New Roman" w:hAnsi="Times New Roman"/>
          <w:sz w:val="22"/>
          <w:szCs w:val="22"/>
        </w:rPr>
        <w:t>the hearing</w:t>
      </w:r>
      <w:r w:rsidRPr="00886BC7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ha</w:t>
      </w:r>
      <w:r w:rsidRPr="00886BC7">
        <w:rPr>
          <w:rFonts w:ascii="Times New Roman" w:hAnsi="Times New Roman"/>
          <w:sz w:val="22"/>
          <w:szCs w:val="22"/>
        </w:rPr>
        <w:t xml:space="preserve">s </w:t>
      </w:r>
      <w:r>
        <w:rPr>
          <w:rFonts w:ascii="Times New Roman" w:hAnsi="Times New Roman"/>
          <w:sz w:val="22"/>
          <w:szCs w:val="22"/>
        </w:rPr>
        <w:t>begun</w:t>
      </w:r>
      <w:r w:rsidRPr="00886BC7">
        <w:rPr>
          <w:rFonts w:ascii="Times New Roman" w:hAnsi="Times New Roman"/>
          <w:sz w:val="22"/>
          <w:szCs w:val="22"/>
        </w:rPr>
        <w:t xml:space="preserve">.  This may occur when there has been an adjournment to allow time to file Briefs, with a return day being set, or in matters that are being brought quickly before the court.  </w:t>
      </w:r>
    </w:p>
    <w:p w14:paraId="31DC2776" w14:textId="77777777" w:rsidR="00E02191" w:rsidRDefault="00E02191" w:rsidP="00E02191">
      <w:pPr>
        <w:spacing w:line="276" w:lineRule="auto"/>
        <w:jc w:val="both"/>
        <w:rPr>
          <w:rFonts w:ascii="Times New Roman" w:hAnsi="Times New Roman"/>
          <w:sz w:val="22"/>
          <w:szCs w:val="22"/>
          <w:lang w:val="en-GB"/>
        </w:rPr>
      </w:pPr>
    </w:p>
    <w:p w14:paraId="65E2A4CB" w14:textId="77777777" w:rsidR="00E02191" w:rsidRPr="00886BC7" w:rsidRDefault="00E02191" w:rsidP="00E02191">
      <w:pPr>
        <w:spacing w:line="276" w:lineRule="auto"/>
        <w:jc w:val="both"/>
        <w:rPr>
          <w:rFonts w:ascii="Times New Roman" w:hAnsi="Times New Roman"/>
          <w:sz w:val="22"/>
          <w:szCs w:val="22"/>
          <w:lang w:val="en-GB"/>
        </w:rPr>
      </w:pPr>
    </w:p>
    <w:p w14:paraId="42D8F229" w14:textId="77777777" w:rsidR="00E02191" w:rsidRPr="00886BC7" w:rsidRDefault="00E02191" w:rsidP="00E02191">
      <w:pPr>
        <w:spacing w:line="276" w:lineRule="auto"/>
        <w:ind w:left="720"/>
        <w:jc w:val="both"/>
        <w:rPr>
          <w:rFonts w:ascii="Times New Roman" w:hAnsi="Times New Roman"/>
          <w:sz w:val="22"/>
          <w:szCs w:val="22"/>
          <w:lang w:val="en-GB"/>
        </w:rPr>
      </w:pPr>
      <w:r w:rsidRPr="00886BC7">
        <w:rPr>
          <w:rFonts w:ascii="Times New Roman" w:hAnsi="Times New Roman"/>
          <w:sz w:val="22"/>
          <w:szCs w:val="22"/>
          <w:lang w:val="en-GB"/>
        </w:rPr>
        <w:t xml:space="preserve">In these circumstances, it is the responsibility of the lawyer or self-represented party who is filing the documents to instruct the deputy registrar </w:t>
      </w:r>
      <w:r>
        <w:rPr>
          <w:rFonts w:ascii="Times New Roman" w:hAnsi="Times New Roman"/>
          <w:sz w:val="22"/>
          <w:szCs w:val="22"/>
          <w:lang w:val="en-GB"/>
        </w:rPr>
        <w:t>that</w:t>
      </w:r>
      <w:r w:rsidRPr="00886BC7">
        <w:rPr>
          <w:rFonts w:ascii="Times New Roman" w:hAnsi="Times New Roman"/>
          <w:sz w:val="22"/>
          <w:szCs w:val="22"/>
          <w:lang w:val="en-GB"/>
        </w:rPr>
        <w:t xml:space="preserve"> the documents should be delivered immediately to the judge hearing the matter.  </w:t>
      </w:r>
    </w:p>
    <w:p w14:paraId="17CEF6BF" w14:textId="77777777" w:rsidR="00E02191" w:rsidRPr="00886BC7" w:rsidRDefault="00E02191" w:rsidP="00E02191">
      <w:pPr>
        <w:spacing w:line="276" w:lineRule="auto"/>
        <w:ind w:left="720"/>
        <w:jc w:val="both"/>
        <w:rPr>
          <w:rFonts w:ascii="Times New Roman" w:hAnsi="Times New Roman"/>
          <w:sz w:val="22"/>
          <w:szCs w:val="22"/>
          <w:lang w:val="en-GB"/>
        </w:rPr>
      </w:pPr>
    </w:p>
    <w:p w14:paraId="79DCCDC8" w14:textId="77777777" w:rsidR="00E02191" w:rsidRPr="00886BC7" w:rsidRDefault="00E02191" w:rsidP="00E02191">
      <w:pPr>
        <w:spacing w:line="276" w:lineRule="auto"/>
        <w:ind w:left="720"/>
        <w:jc w:val="both"/>
        <w:rPr>
          <w:rFonts w:ascii="Times New Roman" w:hAnsi="Times New Roman"/>
          <w:sz w:val="22"/>
          <w:szCs w:val="22"/>
          <w:lang w:val="en-GB"/>
        </w:rPr>
      </w:pPr>
    </w:p>
    <w:p w14:paraId="26CF6E0A" w14:textId="77777777" w:rsidR="00E02191" w:rsidRPr="00886BC7" w:rsidRDefault="00E02191" w:rsidP="00E0219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2"/>
          <w:szCs w:val="22"/>
          <w:u w:val="single"/>
          <w:lang w:val="en-GB"/>
        </w:rPr>
      </w:pPr>
      <w:r w:rsidRPr="00886BC7">
        <w:rPr>
          <w:rFonts w:ascii="Times New Roman" w:hAnsi="Times New Roman"/>
          <w:sz w:val="22"/>
          <w:szCs w:val="22"/>
          <w:u w:val="single"/>
          <w:lang w:val="en-GB"/>
        </w:rPr>
        <w:t>Page Numbering</w:t>
      </w:r>
    </w:p>
    <w:p w14:paraId="7EBD3D30" w14:textId="77777777" w:rsidR="00E02191" w:rsidRPr="00886BC7" w:rsidRDefault="00E02191" w:rsidP="00E02191">
      <w:pPr>
        <w:spacing w:line="276" w:lineRule="auto"/>
        <w:ind w:left="720"/>
        <w:jc w:val="both"/>
        <w:rPr>
          <w:rFonts w:ascii="Times New Roman" w:hAnsi="Times New Roman"/>
          <w:sz w:val="22"/>
          <w:szCs w:val="22"/>
          <w:lang w:val="en-GB"/>
        </w:rPr>
      </w:pPr>
    </w:p>
    <w:p w14:paraId="12BED2A2" w14:textId="33ADF20E" w:rsidR="00ED1BFF" w:rsidRPr="00E02191" w:rsidRDefault="00E02191" w:rsidP="00E02191">
      <w:pPr>
        <w:pStyle w:val="ListParagraph"/>
        <w:spacing w:line="276" w:lineRule="auto"/>
        <w:rPr>
          <w:rFonts w:ascii="Times New Roman" w:hAnsi="Times New Roman"/>
          <w:sz w:val="22"/>
          <w:szCs w:val="22"/>
          <w:lang w:val="en-GB"/>
        </w:rPr>
      </w:pPr>
      <w:r w:rsidRPr="00822307">
        <w:rPr>
          <w:rFonts w:ascii="Times New Roman" w:hAnsi="Times New Roman"/>
          <w:i/>
          <w:iCs/>
          <w:sz w:val="22"/>
          <w:szCs w:val="22"/>
          <w:lang w:val="en-GB"/>
        </w:rPr>
        <w:t>Rules</w:t>
      </w:r>
      <w:r w:rsidRPr="00886BC7">
        <w:rPr>
          <w:rFonts w:ascii="Times New Roman" w:hAnsi="Times New Roman"/>
          <w:sz w:val="22"/>
          <w:szCs w:val="22"/>
          <w:lang w:val="en-GB"/>
        </w:rPr>
        <w:t xml:space="preserve"> 37.07(7) and 38.10(2)</w:t>
      </w:r>
      <w:r>
        <w:rPr>
          <w:rFonts w:ascii="Times New Roman" w:hAnsi="Times New Roman"/>
          <w:sz w:val="22"/>
          <w:szCs w:val="22"/>
          <w:lang w:val="en-GB"/>
        </w:rPr>
        <w:t xml:space="preserve"> address page numbering for </w:t>
      </w:r>
      <w:r w:rsidRPr="00886BC7">
        <w:rPr>
          <w:rFonts w:ascii="Times New Roman" w:hAnsi="Times New Roman"/>
          <w:sz w:val="22"/>
          <w:szCs w:val="22"/>
          <w:lang w:val="en-GB"/>
        </w:rPr>
        <w:t>motion records and application records. Lawyers and self-represented litigants may consecutively number the pages of each separate document (for example, the notice of motion, factum, and affidavit). Where a lawyer or self-represented party files an affidavit that is not part of an application or motion record, the affidavit is to include page numbers.</w:t>
      </w:r>
    </w:p>
    <w:sectPr w:rsidR="00ED1BFF" w:rsidRPr="00E021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BEF75" w14:textId="77777777" w:rsidR="003E5478" w:rsidRDefault="003E5478" w:rsidP="00A47B89">
      <w:r>
        <w:separator/>
      </w:r>
    </w:p>
  </w:endnote>
  <w:endnote w:type="continuationSeparator" w:id="0">
    <w:p w14:paraId="338BEA79" w14:textId="77777777" w:rsidR="003E5478" w:rsidRDefault="003E5478" w:rsidP="00A47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G Omeg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74DAA" w14:textId="77777777" w:rsidR="003E5478" w:rsidRDefault="003E5478" w:rsidP="00A47B89">
      <w:r>
        <w:separator/>
      </w:r>
    </w:p>
  </w:footnote>
  <w:footnote w:type="continuationSeparator" w:id="0">
    <w:p w14:paraId="633168C2" w14:textId="77777777" w:rsidR="003E5478" w:rsidRDefault="003E5478" w:rsidP="00A47B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2131D"/>
    <w:multiLevelType w:val="hybridMultilevel"/>
    <w:tmpl w:val="501E046A"/>
    <w:lvl w:ilvl="0" w:tplc="678CCEF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5560A4E4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36969CEA">
      <w:start w:val="1"/>
      <w:numFmt w:val="lowerRoman"/>
      <w:lvlText w:val="(%3)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3" w:tplc="36969CEA">
      <w:start w:val="1"/>
      <w:numFmt w:val="lowerRoman"/>
      <w:lvlText w:val="(%4)"/>
      <w:lvlJc w:val="right"/>
      <w:pPr>
        <w:ind w:left="2880" w:hanging="360"/>
      </w:pPr>
      <w:rPr>
        <w:rFonts w:ascii="Times New Roman" w:eastAsia="Times New Roman" w:hAnsi="Times New Roman" w:cs="Times New Roman"/>
      </w:rPr>
    </w:lvl>
    <w:lvl w:ilvl="4" w:tplc="F5C42940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F5713"/>
    <w:multiLevelType w:val="hybridMultilevel"/>
    <w:tmpl w:val="1B0AC798"/>
    <w:lvl w:ilvl="0" w:tplc="9C26EC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FC7A45"/>
    <w:multiLevelType w:val="hybridMultilevel"/>
    <w:tmpl w:val="C7B64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662710">
    <w:abstractNumId w:val="2"/>
  </w:num>
  <w:num w:numId="2" w16cid:durableId="1771197234">
    <w:abstractNumId w:val="0"/>
  </w:num>
  <w:num w:numId="3" w16cid:durableId="844709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191"/>
    <w:rsid w:val="000824AF"/>
    <w:rsid w:val="00182950"/>
    <w:rsid w:val="001F3D92"/>
    <w:rsid w:val="003E4C92"/>
    <w:rsid w:val="003E5478"/>
    <w:rsid w:val="00424F8B"/>
    <w:rsid w:val="00492689"/>
    <w:rsid w:val="004C60FA"/>
    <w:rsid w:val="008D7D56"/>
    <w:rsid w:val="0090330D"/>
    <w:rsid w:val="009230C7"/>
    <w:rsid w:val="009F7CD3"/>
    <w:rsid w:val="00A47B89"/>
    <w:rsid w:val="00B42811"/>
    <w:rsid w:val="00C17D01"/>
    <w:rsid w:val="00C81B58"/>
    <w:rsid w:val="00E02191"/>
    <w:rsid w:val="00E864A0"/>
    <w:rsid w:val="00ED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34F3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689"/>
    <w:pPr>
      <w:widowControl w:val="0"/>
      <w:autoSpaceDE w:val="0"/>
      <w:autoSpaceDN w:val="0"/>
      <w:adjustRightInd w:val="0"/>
    </w:pPr>
    <w:rPr>
      <w:rFonts w:ascii="CG Omega" w:eastAsia="Times New Roman" w:hAnsi="CG Omega" w:cs="Times New Roman"/>
      <w:kern w:val="0"/>
      <w:sz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21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1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1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1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1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19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19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19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19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1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1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19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19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19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19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19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19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19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1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19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19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1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1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1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1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1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1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191"/>
    <w:rPr>
      <w:b/>
      <w:bCs/>
      <w:smallCaps/>
      <w:color w:val="0F4761" w:themeColor="accent1" w:themeShade="BF"/>
      <w:spacing w:val="5"/>
    </w:rPr>
  </w:style>
  <w:style w:type="paragraph" w:customStyle="1" w:styleId="PRACTICENOTE">
    <w:name w:val="PRACTICENOTE"/>
    <w:basedOn w:val="Normal"/>
    <w:rsid w:val="00E02191"/>
    <w:pPr>
      <w:spacing w:after="116" w:line="216" w:lineRule="auto"/>
      <w:jc w:val="center"/>
    </w:pPr>
    <w:rPr>
      <w:rFonts w:ascii="Times New Roman" w:hAnsi="Times New Roman"/>
      <w:b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E0219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02191"/>
    <w:rPr>
      <w:rFonts w:ascii="CG Omega" w:eastAsia="Times New Roman" w:hAnsi="CG Omega" w:cs="Times New Roman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2026-09-10T17:52:00Z</dcterms:created>
  <dcterms:modified xsi:type="dcterms:W3CDTF">2026-09-10T17:52:00Z</dcterms:modified>
</cp:coreProperties>
</file>