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2367" w14:textId="77777777" w:rsidR="0062320C" w:rsidRPr="00D0360D" w:rsidRDefault="0062320C" w:rsidP="0062320C">
      <w:pPr>
        <w:pStyle w:val="Default"/>
        <w:spacing w:line="276" w:lineRule="auto"/>
        <w:ind w:left="720"/>
        <w:jc w:val="center"/>
        <w:rPr>
          <w:rFonts w:ascii="Times New Roman" w:hAnsi="Times New Roman" w:cs="Times New Roman"/>
          <w:b/>
          <w:bCs/>
          <w:sz w:val="22"/>
          <w:szCs w:val="22"/>
        </w:rPr>
      </w:pPr>
      <w:bookmarkStart w:id="0" w:name="_Hlk200976240"/>
      <w:r>
        <w:rPr>
          <w:rFonts w:ascii="Times New Roman" w:hAnsi="Times New Roman" w:cs="Times New Roman"/>
          <w:b/>
          <w:bCs/>
          <w:sz w:val="22"/>
          <w:szCs w:val="22"/>
        </w:rPr>
        <w:t>B</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A23023">
        <w:rPr>
          <w:rFonts w:ascii="Times New Roman" w:hAnsi="Times New Roman"/>
          <w:b/>
          <w:bCs/>
          <w:caps/>
          <w:sz w:val="22"/>
          <w:szCs w:val="22"/>
        </w:rPr>
        <w:t>motions AND APPLICATIONS</w:t>
      </w:r>
    </w:p>
    <w:p w14:paraId="7164062C" w14:textId="77777777" w:rsidR="0062320C" w:rsidRDefault="0062320C" w:rsidP="0062320C">
      <w:pPr>
        <w:spacing w:line="276" w:lineRule="auto"/>
        <w:jc w:val="center"/>
        <w:rPr>
          <w:rFonts w:ascii="Times New Roman" w:hAnsi="Times New Roman"/>
          <w:b/>
          <w:bCs/>
          <w:caps/>
          <w:sz w:val="22"/>
          <w:szCs w:val="22"/>
        </w:rPr>
      </w:pPr>
    </w:p>
    <w:bookmarkEnd w:id="0"/>
    <w:p w14:paraId="254DCB6F" w14:textId="77777777" w:rsidR="0062320C" w:rsidRDefault="0062320C" w:rsidP="0062320C">
      <w:pPr>
        <w:spacing w:line="276" w:lineRule="auto"/>
        <w:rPr>
          <w:rFonts w:ascii="Times New Roman" w:hAnsi="Times New Roman"/>
          <w:color w:val="000000"/>
          <w:sz w:val="22"/>
          <w:szCs w:val="22"/>
          <w:shd w:val="clear" w:color="auto" w:fill="FFFFFF"/>
        </w:rPr>
      </w:pPr>
      <w:r w:rsidRPr="00886BC7">
        <w:rPr>
          <w:rFonts w:ascii="Times New Roman" w:hAnsi="Times New Roman"/>
          <w:color w:val="000000"/>
          <w:sz w:val="22"/>
          <w:szCs w:val="22"/>
          <w:shd w:val="clear" w:color="auto" w:fill="FFFFFF"/>
        </w:rPr>
        <w:t xml:space="preserve">For further guidance on motions and applications generally, parties should </w:t>
      </w:r>
      <w:r>
        <w:rPr>
          <w:rFonts w:ascii="Times New Roman" w:hAnsi="Times New Roman"/>
          <w:color w:val="000000"/>
          <w:sz w:val="22"/>
          <w:szCs w:val="22"/>
          <w:shd w:val="clear" w:color="auto" w:fill="FFFFFF"/>
        </w:rPr>
        <w:t xml:space="preserve">also </w:t>
      </w:r>
      <w:r w:rsidRPr="00F50EE9">
        <w:rPr>
          <w:rFonts w:ascii="Times New Roman" w:hAnsi="Times New Roman"/>
          <w:color w:val="000000"/>
          <w:sz w:val="22"/>
          <w:szCs w:val="22"/>
          <w:shd w:val="clear" w:color="auto" w:fill="FFFFFF"/>
        </w:rPr>
        <w:t>consult Part V, the “General Directions: Motions and Applications” Practice Direction.</w:t>
      </w:r>
      <w:r w:rsidRPr="00886BC7">
        <w:rPr>
          <w:rFonts w:ascii="Times New Roman" w:hAnsi="Times New Roman"/>
          <w:color w:val="000000"/>
          <w:sz w:val="22"/>
          <w:szCs w:val="22"/>
          <w:shd w:val="clear" w:color="auto" w:fill="FFFFFF"/>
        </w:rPr>
        <w:t xml:space="preserve">  </w:t>
      </w:r>
    </w:p>
    <w:p w14:paraId="34822822" w14:textId="77777777" w:rsidR="0062320C" w:rsidRPr="00886BC7" w:rsidRDefault="0062320C" w:rsidP="0062320C">
      <w:pPr>
        <w:spacing w:line="276" w:lineRule="auto"/>
        <w:rPr>
          <w:rFonts w:ascii="Times New Roman" w:hAnsi="Times New Roman"/>
          <w:color w:val="000000"/>
          <w:sz w:val="22"/>
          <w:szCs w:val="22"/>
          <w:shd w:val="clear" w:color="auto" w:fill="FFFFFF"/>
        </w:rPr>
      </w:pPr>
    </w:p>
    <w:p w14:paraId="004A6CC8" w14:textId="77777777" w:rsidR="0062320C" w:rsidRPr="00886BC7" w:rsidRDefault="0062320C" w:rsidP="0062320C">
      <w:pPr>
        <w:pStyle w:val="ListParagraph"/>
        <w:numPr>
          <w:ilvl w:val="0"/>
          <w:numId w:val="1"/>
        </w:numPr>
        <w:spacing w:line="276" w:lineRule="auto"/>
        <w:rPr>
          <w:rFonts w:ascii="Times New Roman" w:hAnsi="Times New Roman"/>
          <w:sz w:val="22"/>
          <w:szCs w:val="22"/>
          <w:u w:val="single"/>
        </w:rPr>
      </w:pPr>
      <w:r w:rsidRPr="00886BC7">
        <w:rPr>
          <w:rFonts w:ascii="Times New Roman" w:hAnsi="Times New Roman"/>
          <w:sz w:val="22"/>
          <w:szCs w:val="22"/>
          <w:u w:val="single"/>
        </w:rPr>
        <w:t>Originating Process</w:t>
      </w:r>
      <w:r>
        <w:rPr>
          <w:rFonts w:ascii="Times New Roman" w:hAnsi="Times New Roman"/>
          <w:sz w:val="22"/>
          <w:szCs w:val="22"/>
          <w:u w:val="single"/>
        </w:rPr>
        <w:t>es and Interim Relief</w:t>
      </w:r>
    </w:p>
    <w:p w14:paraId="423BF29F" w14:textId="77777777" w:rsidR="0062320C" w:rsidRPr="00886BC7" w:rsidRDefault="0062320C" w:rsidP="0062320C">
      <w:pPr>
        <w:pStyle w:val="ListParagraph"/>
        <w:spacing w:line="276" w:lineRule="auto"/>
        <w:rPr>
          <w:rFonts w:ascii="Times New Roman" w:hAnsi="Times New Roman"/>
          <w:sz w:val="22"/>
          <w:szCs w:val="22"/>
          <w:u w:val="single"/>
        </w:rPr>
      </w:pPr>
    </w:p>
    <w:p w14:paraId="10D79FEC" w14:textId="77777777" w:rsidR="0062320C" w:rsidRPr="00886BC7" w:rsidRDefault="0062320C" w:rsidP="0062320C">
      <w:pPr>
        <w:pStyle w:val="ListParagraph"/>
        <w:numPr>
          <w:ilvl w:val="1"/>
          <w:numId w:val="1"/>
        </w:numPr>
        <w:spacing w:line="276" w:lineRule="auto"/>
        <w:rPr>
          <w:rFonts w:ascii="Times New Roman" w:hAnsi="Times New Roman"/>
          <w:sz w:val="22"/>
          <w:szCs w:val="22"/>
          <w:u w:val="single"/>
        </w:rPr>
      </w:pPr>
      <w:r w:rsidRPr="00886BC7">
        <w:rPr>
          <w:rFonts w:ascii="Times New Roman" w:hAnsi="Times New Roman"/>
          <w:sz w:val="22"/>
          <w:szCs w:val="22"/>
        </w:rPr>
        <w:t xml:space="preserve">Lawyers and self-represented parties are reminded that the originating process for the commencement of a divorce action is a petition, and interim relief is to be sought via a notice of motion.  </w:t>
      </w:r>
    </w:p>
    <w:p w14:paraId="3B1EE0A6" w14:textId="77777777" w:rsidR="0062320C" w:rsidRPr="00886BC7" w:rsidRDefault="0062320C" w:rsidP="0062320C">
      <w:pPr>
        <w:pStyle w:val="ListParagraph"/>
        <w:spacing w:line="276" w:lineRule="auto"/>
        <w:ind w:left="1440"/>
        <w:rPr>
          <w:rFonts w:ascii="Times New Roman" w:hAnsi="Times New Roman"/>
          <w:sz w:val="22"/>
          <w:szCs w:val="22"/>
          <w:u w:val="single"/>
        </w:rPr>
      </w:pPr>
    </w:p>
    <w:p w14:paraId="2A9D17D3" w14:textId="77777777" w:rsidR="0062320C" w:rsidRPr="00886BC7" w:rsidRDefault="0062320C" w:rsidP="0062320C">
      <w:pPr>
        <w:pStyle w:val="ListParagraph"/>
        <w:numPr>
          <w:ilvl w:val="1"/>
          <w:numId w:val="1"/>
        </w:numPr>
        <w:spacing w:line="276" w:lineRule="auto"/>
        <w:rPr>
          <w:rFonts w:ascii="Times New Roman" w:hAnsi="Times New Roman"/>
          <w:sz w:val="22"/>
          <w:szCs w:val="22"/>
          <w:u w:val="single"/>
        </w:rPr>
      </w:pPr>
      <w:r w:rsidRPr="00886BC7">
        <w:rPr>
          <w:rFonts w:ascii="Times New Roman" w:hAnsi="Times New Roman"/>
          <w:sz w:val="22"/>
          <w:szCs w:val="22"/>
        </w:rPr>
        <w:t>Lawyers and self-represented parties are also reminded of the following:</w:t>
      </w:r>
    </w:p>
    <w:p w14:paraId="67A7B31F" w14:textId="77777777" w:rsidR="0062320C" w:rsidRPr="00886BC7" w:rsidRDefault="0062320C" w:rsidP="0062320C">
      <w:pPr>
        <w:pStyle w:val="ListParagraph"/>
        <w:rPr>
          <w:rFonts w:ascii="Times New Roman" w:hAnsi="Times New Roman"/>
          <w:sz w:val="22"/>
          <w:szCs w:val="22"/>
        </w:rPr>
      </w:pPr>
    </w:p>
    <w:p w14:paraId="278F9251" w14:textId="77777777" w:rsidR="0062320C" w:rsidRPr="00886BC7" w:rsidRDefault="0062320C" w:rsidP="0062320C">
      <w:pPr>
        <w:pStyle w:val="ListParagraph"/>
        <w:numPr>
          <w:ilvl w:val="2"/>
          <w:numId w:val="1"/>
        </w:numPr>
        <w:spacing w:line="276" w:lineRule="auto"/>
        <w:rPr>
          <w:rFonts w:ascii="Times New Roman" w:hAnsi="Times New Roman"/>
          <w:sz w:val="22"/>
          <w:szCs w:val="22"/>
          <w:u w:val="single"/>
        </w:rPr>
      </w:pPr>
      <w:r w:rsidRPr="00886BC7">
        <w:rPr>
          <w:rFonts w:ascii="Times New Roman" w:hAnsi="Times New Roman"/>
          <w:sz w:val="22"/>
          <w:szCs w:val="22"/>
        </w:rPr>
        <w:t xml:space="preserve">The originating process for relief under the </w:t>
      </w:r>
      <w:r w:rsidRPr="00886BC7">
        <w:rPr>
          <w:rFonts w:ascii="Times New Roman" w:hAnsi="Times New Roman"/>
          <w:i/>
          <w:iCs/>
          <w:sz w:val="22"/>
          <w:szCs w:val="22"/>
        </w:rPr>
        <w:t>Family Law Act</w:t>
      </w:r>
      <w:r>
        <w:rPr>
          <w:rFonts w:ascii="Times New Roman" w:hAnsi="Times New Roman"/>
          <w:i/>
          <w:iCs/>
          <w:sz w:val="22"/>
          <w:szCs w:val="22"/>
        </w:rPr>
        <w:t xml:space="preserve">, </w:t>
      </w:r>
      <w:r>
        <w:rPr>
          <w:rFonts w:ascii="Times New Roman" w:hAnsi="Times New Roman"/>
          <w:sz w:val="22"/>
          <w:szCs w:val="22"/>
        </w:rPr>
        <w:t xml:space="preserve">RSPEI 1988 Cap. FF-2.1, </w:t>
      </w:r>
      <w:r w:rsidRPr="00886BC7">
        <w:rPr>
          <w:rFonts w:ascii="Times New Roman" w:hAnsi="Times New Roman"/>
          <w:sz w:val="22"/>
          <w:szCs w:val="22"/>
        </w:rPr>
        <w:t xml:space="preserve">or the </w:t>
      </w:r>
      <w:r w:rsidRPr="00886BC7">
        <w:rPr>
          <w:rFonts w:ascii="Times New Roman" w:hAnsi="Times New Roman"/>
          <w:i/>
          <w:iCs/>
          <w:sz w:val="22"/>
          <w:szCs w:val="22"/>
        </w:rPr>
        <w:t>Children's Law Act</w:t>
      </w:r>
      <w:r w:rsidRPr="00886BC7">
        <w:rPr>
          <w:rFonts w:ascii="Times New Roman" w:hAnsi="Times New Roman"/>
          <w:sz w:val="22"/>
          <w:szCs w:val="22"/>
        </w:rPr>
        <w:t xml:space="preserve">, RSPEI 1988 Cap. C-6.1 is </w:t>
      </w:r>
      <w:r>
        <w:rPr>
          <w:rFonts w:ascii="Times New Roman" w:hAnsi="Times New Roman"/>
          <w:sz w:val="22"/>
          <w:szCs w:val="22"/>
        </w:rPr>
        <w:t xml:space="preserve">generally </w:t>
      </w:r>
      <w:r w:rsidRPr="00886BC7">
        <w:rPr>
          <w:rFonts w:ascii="Times New Roman" w:hAnsi="Times New Roman"/>
          <w:sz w:val="22"/>
          <w:szCs w:val="22"/>
        </w:rPr>
        <w:t>a statement of claim</w:t>
      </w:r>
      <w:r>
        <w:rPr>
          <w:rFonts w:ascii="Times New Roman" w:hAnsi="Times New Roman"/>
          <w:sz w:val="22"/>
          <w:szCs w:val="22"/>
        </w:rPr>
        <w:t>, and i</w:t>
      </w:r>
      <w:r w:rsidRPr="00886BC7">
        <w:rPr>
          <w:rFonts w:ascii="Times New Roman" w:hAnsi="Times New Roman"/>
          <w:sz w:val="22"/>
          <w:szCs w:val="22"/>
        </w:rPr>
        <w:t xml:space="preserve">nterim relief is to be sought via a notice of motion. </w:t>
      </w:r>
    </w:p>
    <w:p w14:paraId="49ECF009" w14:textId="77777777" w:rsidR="0062320C" w:rsidRPr="00886BC7" w:rsidRDefault="0062320C" w:rsidP="0062320C">
      <w:pPr>
        <w:pStyle w:val="ListParagraph"/>
        <w:numPr>
          <w:ilvl w:val="2"/>
          <w:numId w:val="1"/>
        </w:numPr>
        <w:spacing w:line="276" w:lineRule="auto"/>
        <w:rPr>
          <w:rFonts w:ascii="Times New Roman" w:hAnsi="Times New Roman"/>
          <w:sz w:val="22"/>
          <w:szCs w:val="22"/>
          <w:u w:val="single"/>
        </w:rPr>
      </w:pPr>
      <w:r w:rsidRPr="00886BC7">
        <w:rPr>
          <w:rFonts w:ascii="Times New Roman" w:hAnsi="Times New Roman"/>
          <w:sz w:val="22"/>
          <w:szCs w:val="22"/>
        </w:rPr>
        <w:t xml:space="preserve">A notice of application is not to be used where </w:t>
      </w:r>
      <w:r>
        <w:rPr>
          <w:rFonts w:ascii="Times New Roman" w:hAnsi="Times New Roman"/>
          <w:sz w:val="22"/>
          <w:szCs w:val="22"/>
        </w:rPr>
        <w:t xml:space="preserve">interim </w:t>
      </w:r>
      <w:r w:rsidRPr="00886BC7">
        <w:rPr>
          <w:rFonts w:ascii="Times New Roman" w:hAnsi="Times New Roman"/>
          <w:sz w:val="22"/>
          <w:szCs w:val="22"/>
        </w:rPr>
        <w:t xml:space="preserve">relief is sought under the </w:t>
      </w:r>
      <w:r w:rsidRPr="00886BC7">
        <w:rPr>
          <w:rFonts w:ascii="Times New Roman" w:hAnsi="Times New Roman"/>
          <w:i/>
          <w:iCs/>
          <w:sz w:val="22"/>
          <w:szCs w:val="22"/>
        </w:rPr>
        <w:t>Family Law Act</w:t>
      </w:r>
      <w:r w:rsidRPr="00886BC7">
        <w:rPr>
          <w:rFonts w:ascii="Times New Roman" w:hAnsi="Times New Roman"/>
          <w:sz w:val="22"/>
          <w:szCs w:val="22"/>
        </w:rPr>
        <w:t xml:space="preserve"> or the </w:t>
      </w:r>
      <w:r w:rsidRPr="00886BC7">
        <w:rPr>
          <w:rFonts w:ascii="Times New Roman" w:hAnsi="Times New Roman"/>
          <w:i/>
          <w:iCs/>
          <w:sz w:val="22"/>
          <w:szCs w:val="22"/>
        </w:rPr>
        <w:t>Children's Law Act</w:t>
      </w:r>
      <w:r w:rsidRPr="00886BC7">
        <w:rPr>
          <w:rFonts w:ascii="Times New Roman" w:hAnsi="Times New Roman"/>
          <w:sz w:val="22"/>
          <w:szCs w:val="22"/>
        </w:rPr>
        <w:t>. Rather, the appropriate approach is to issue a statement of claim and notice of motion.</w:t>
      </w:r>
    </w:p>
    <w:p w14:paraId="21C17578" w14:textId="77777777" w:rsidR="0062320C" w:rsidRPr="00886BC7" w:rsidRDefault="0062320C" w:rsidP="0062320C">
      <w:pPr>
        <w:pStyle w:val="ListParagraph"/>
        <w:rPr>
          <w:rFonts w:ascii="Times New Roman" w:hAnsi="Times New Roman"/>
          <w:sz w:val="22"/>
          <w:szCs w:val="22"/>
        </w:rPr>
      </w:pPr>
    </w:p>
    <w:p w14:paraId="15C43B29" w14:textId="77777777" w:rsidR="0062320C" w:rsidRPr="003D2E3E" w:rsidRDefault="0062320C" w:rsidP="0062320C">
      <w:pPr>
        <w:pStyle w:val="ListParagraph"/>
        <w:numPr>
          <w:ilvl w:val="1"/>
          <w:numId w:val="1"/>
        </w:numPr>
        <w:spacing w:line="276" w:lineRule="auto"/>
        <w:rPr>
          <w:rFonts w:ascii="Times New Roman" w:hAnsi="Times New Roman"/>
          <w:sz w:val="22"/>
          <w:szCs w:val="22"/>
          <w:u w:val="single"/>
        </w:rPr>
      </w:pPr>
      <w:r>
        <w:rPr>
          <w:rFonts w:ascii="Times New Roman" w:hAnsi="Times New Roman"/>
          <w:sz w:val="22"/>
          <w:szCs w:val="22"/>
        </w:rPr>
        <w:t>Where an application is initiated u</w:t>
      </w:r>
      <w:r w:rsidRPr="00886BC7">
        <w:rPr>
          <w:rFonts w:ascii="Times New Roman" w:hAnsi="Times New Roman"/>
          <w:sz w:val="22"/>
          <w:szCs w:val="22"/>
        </w:rPr>
        <w:t xml:space="preserve">nder the </w:t>
      </w:r>
      <w:r w:rsidRPr="00886BC7">
        <w:rPr>
          <w:rFonts w:ascii="Times New Roman" w:hAnsi="Times New Roman"/>
          <w:i/>
          <w:iCs/>
          <w:sz w:val="22"/>
          <w:szCs w:val="22"/>
        </w:rPr>
        <w:t>Family Law Act</w:t>
      </w:r>
      <w:r w:rsidRPr="00886BC7">
        <w:rPr>
          <w:rFonts w:ascii="Times New Roman" w:hAnsi="Times New Roman"/>
          <w:sz w:val="22"/>
          <w:szCs w:val="22"/>
        </w:rPr>
        <w:t xml:space="preserve"> or the </w:t>
      </w:r>
      <w:r w:rsidRPr="00886BC7">
        <w:rPr>
          <w:rFonts w:ascii="Times New Roman" w:hAnsi="Times New Roman"/>
          <w:i/>
          <w:iCs/>
          <w:sz w:val="22"/>
          <w:szCs w:val="22"/>
        </w:rPr>
        <w:t>Children's Law Act,</w:t>
      </w:r>
      <w:r w:rsidRPr="00886BC7">
        <w:rPr>
          <w:rFonts w:ascii="Times New Roman" w:hAnsi="Times New Roman"/>
          <w:sz w:val="22"/>
          <w:szCs w:val="22"/>
        </w:rPr>
        <w:t xml:space="preserve"> the parties are still subject to the pre-motion conference regime. </w:t>
      </w:r>
    </w:p>
    <w:p w14:paraId="241E6113" w14:textId="77777777" w:rsidR="0062320C" w:rsidRPr="003D2E3E" w:rsidRDefault="0062320C" w:rsidP="0062320C">
      <w:pPr>
        <w:pStyle w:val="ListParagraph"/>
        <w:spacing w:line="276" w:lineRule="auto"/>
        <w:ind w:left="1440"/>
        <w:rPr>
          <w:rFonts w:ascii="Times New Roman" w:hAnsi="Times New Roman"/>
          <w:sz w:val="22"/>
          <w:szCs w:val="22"/>
          <w:u w:val="single"/>
        </w:rPr>
      </w:pPr>
    </w:p>
    <w:p w14:paraId="3C7ECCD3" w14:textId="77777777" w:rsidR="0062320C" w:rsidRPr="00886BC7" w:rsidRDefault="0062320C" w:rsidP="0062320C">
      <w:pPr>
        <w:pStyle w:val="ListParagraph"/>
        <w:numPr>
          <w:ilvl w:val="1"/>
          <w:numId w:val="1"/>
        </w:numPr>
        <w:spacing w:line="276" w:lineRule="auto"/>
        <w:rPr>
          <w:rFonts w:ascii="Times New Roman" w:hAnsi="Times New Roman"/>
          <w:sz w:val="22"/>
          <w:szCs w:val="22"/>
          <w:u w:val="single"/>
        </w:rPr>
      </w:pPr>
      <w:r>
        <w:rPr>
          <w:rFonts w:ascii="Times New Roman" w:hAnsi="Times New Roman"/>
          <w:sz w:val="22"/>
          <w:szCs w:val="22"/>
        </w:rPr>
        <w:t>The court recognizes that the Child Support Services Office (CSSO) frequently issues a notice of application. These applications are subject to the pre-motion conference regime. Further, the court will exercise its discretion in considering such applications, and provide such direction as is necessary and appropriate.</w:t>
      </w:r>
    </w:p>
    <w:p w14:paraId="678499F6" w14:textId="77777777" w:rsidR="0062320C" w:rsidRDefault="0062320C" w:rsidP="0062320C">
      <w:pPr>
        <w:pStyle w:val="ListParagraph"/>
        <w:spacing w:line="276" w:lineRule="auto"/>
        <w:rPr>
          <w:rFonts w:ascii="Times New Roman" w:hAnsi="Times New Roman"/>
          <w:sz w:val="22"/>
          <w:szCs w:val="22"/>
          <w:u w:val="single"/>
        </w:rPr>
      </w:pPr>
    </w:p>
    <w:p w14:paraId="65134E01" w14:textId="77777777" w:rsidR="0062320C" w:rsidRPr="001F05B4" w:rsidRDefault="0062320C" w:rsidP="0062320C">
      <w:pPr>
        <w:pStyle w:val="ListParagraph"/>
        <w:spacing w:line="276" w:lineRule="auto"/>
        <w:rPr>
          <w:rFonts w:ascii="Times New Roman" w:hAnsi="Times New Roman"/>
          <w:sz w:val="22"/>
          <w:szCs w:val="22"/>
        </w:rPr>
      </w:pPr>
    </w:p>
    <w:p w14:paraId="30A45BD3" w14:textId="77777777" w:rsidR="0062320C" w:rsidRPr="00886BC7" w:rsidRDefault="0062320C" w:rsidP="0062320C">
      <w:pPr>
        <w:pStyle w:val="ListParagraph"/>
        <w:numPr>
          <w:ilvl w:val="0"/>
          <w:numId w:val="1"/>
        </w:numPr>
        <w:spacing w:line="276" w:lineRule="auto"/>
        <w:rPr>
          <w:rFonts w:ascii="Times New Roman" w:hAnsi="Times New Roman"/>
          <w:sz w:val="22"/>
          <w:szCs w:val="22"/>
        </w:rPr>
      </w:pPr>
      <w:r w:rsidRPr="00886BC7">
        <w:rPr>
          <w:rFonts w:ascii="Times New Roman" w:hAnsi="Times New Roman"/>
          <w:sz w:val="22"/>
          <w:szCs w:val="22"/>
          <w:u w:val="single"/>
        </w:rPr>
        <w:t>Designation of Address for Service</w:t>
      </w:r>
    </w:p>
    <w:p w14:paraId="2C6370DD" w14:textId="77777777" w:rsidR="0062320C" w:rsidRPr="00886BC7" w:rsidRDefault="0062320C" w:rsidP="0062320C">
      <w:pPr>
        <w:spacing w:line="276" w:lineRule="auto"/>
        <w:rPr>
          <w:rFonts w:ascii="Times New Roman" w:hAnsi="Times New Roman"/>
          <w:sz w:val="22"/>
          <w:szCs w:val="22"/>
        </w:rPr>
      </w:pPr>
    </w:p>
    <w:p w14:paraId="7DEDA580" w14:textId="77777777" w:rsidR="0062320C" w:rsidRPr="00886BC7" w:rsidRDefault="0062320C" w:rsidP="0062320C">
      <w:pPr>
        <w:pStyle w:val="ListParagraph"/>
        <w:spacing w:line="276" w:lineRule="auto"/>
        <w:rPr>
          <w:rFonts w:ascii="Times New Roman" w:hAnsi="Times New Roman"/>
          <w:sz w:val="22"/>
          <w:szCs w:val="22"/>
        </w:rPr>
      </w:pPr>
      <w:r w:rsidRPr="00886BC7">
        <w:rPr>
          <w:rFonts w:ascii="Times New Roman" w:hAnsi="Times New Roman"/>
          <w:sz w:val="22"/>
          <w:szCs w:val="22"/>
        </w:rPr>
        <w:t xml:space="preserve">The </w:t>
      </w:r>
      <w:r w:rsidRPr="00822307">
        <w:rPr>
          <w:rFonts w:ascii="Times New Roman" w:hAnsi="Times New Roman"/>
          <w:i/>
          <w:iCs/>
          <w:sz w:val="22"/>
          <w:szCs w:val="22"/>
        </w:rPr>
        <w:t xml:space="preserve">Rules </w:t>
      </w:r>
      <w:r w:rsidRPr="00886BC7">
        <w:rPr>
          <w:rFonts w:ascii="Times New Roman" w:hAnsi="Times New Roman"/>
          <w:sz w:val="22"/>
          <w:szCs w:val="22"/>
        </w:rPr>
        <w:t xml:space="preserve">require service and filing of a designation of address for service for all originating processes, and pleadings responding to an originating process. In circumstances where a party </w:t>
      </w:r>
      <w:r>
        <w:rPr>
          <w:rFonts w:ascii="Times New Roman" w:hAnsi="Times New Roman"/>
          <w:sz w:val="22"/>
          <w:szCs w:val="22"/>
        </w:rPr>
        <w:t>views it is not appropriate for</w:t>
      </w:r>
      <w:r w:rsidRPr="00886BC7">
        <w:rPr>
          <w:rFonts w:ascii="Times New Roman" w:hAnsi="Times New Roman"/>
          <w:sz w:val="22"/>
          <w:szCs w:val="22"/>
        </w:rPr>
        <w:t xml:space="preserve"> the opposing party </w:t>
      </w:r>
      <w:r>
        <w:rPr>
          <w:rFonts w:ascii="Times New Roman" w:hAnsi="Times New Roman"/>
          <w:sz w:val="22"/>
          <w:szCs w:val="22"/>
        </w:rPr>
        <w:t>to have their</w:t>
      </w:r>
      <w:r w:rsidRPr="00886BC7">
        <w:rPr>
          <w:rFonts w:ascii="Times New Roman" w:hAnsi="Times New Roman"/>
          <w:sz w:val="22"/>
          <w:szCs w:val="22"/>
        </w:rPr>
        <w:t xml:space="preserve"> contact </w:t>
      </w:r>
      <w:proofErr w:type="gramStart"/>
      <w:r w:rsidRPr="00886BC7">
        <w:rPr>
          <w:rFonts w:ascii="Times New Roman" w:hAnsi="Times New Roman"/>
          <w:sz w:val="22"/>
          <w:szCs w:val="22"/>
        </w:rPr>
        <w:t>information,</w:t>
      </w:r>
      <w:proofErr w:type="gramEnd"/>
      <w:r w:rsidRPr="00886BC7">
        <w:rPr>
          <w:rFonts w:ascii="Times New Roman" w:hAnsi="Times New Roman"/>
          <w:sz w:val="22"/>
          <w:szCs w:val="22"/>
        </w:rPr>
        <w:t xml:space="preserve"> a request may be made to </w:t>
      </w:r>
      <w:r w:rsidRPr="002E34D3">
        <w:rPr>
          <w:rFonts w:ascii="Times New Roman" w:hAnsi="Times New Roman"/>
          <w:sz w:val="22"/>
          <w:szCs w:val="22"/>
        </w:rPr>
        <w:t>the Registrar to waive</w:t>
      </w:r>
      <w:r>
        <w:rPr>
          <w:rFonts w:ascii="Times New Roman" w:hAnsi="Times New Roman"/>
          <w:sz w:val="22"/>
          <w:szCs w:val="22"/>
        </w:rPr>
        <w:t xml:space="preserve"> the requirement</w:t>
      </w:r>
      <w:r w:rsidRPr="00886BC7">
        <w:rPr>
          <w:rFonts w:ascii="Times New Roman" w:hAnsi="Times New Roman"/>
          <w:sz w:val="22"/>
          <w:szCs w:val="22"/>
        </w:rPr>
        <w:t xml:space="preserve">. </w:t>
      </w:r>
    </w:p>
    <w:p w14:paraId="20F309D3" w14:textId="77777777" w:rsidR="0062320C" w:rsidRDefault="0062320C" w:rsidP="0062320C">
      <w:pPr>
        <w:pStyle w:val="ListParagraph"/>
        <w:shd w:val="clear" w:color="auto" w:fill="FFFFFF"/>
        <w:spacing w:beforeAutospacing="1" w:afterAutospacing="1" w:line="276" w:lineRule="auto"/>
        <w:textAlignment w:val="baseline"/>
        <w:outlineLvl w:val="1"/>
        <w:rPr>
          <w:rFonts w:ascii="Times New Roman" w:hAnsi="Times New Roman"/>
          <w:sz w:val="22"/>
          <w:szCs w:val="22"/>
          <w:u w:val="single"/>
        </w:rPr>
      </w:pPr>
    </w:p>
    <w:p w14:paraId="26CCB3E7" w14:textId="77777777" w:rsidR="0062320C" w:rsidRDefault="0062320C" w:rsidP="0062320C">
      <w:pPr>
        <w:pStyle w:val="ListParagraph"/>
        <w:shd w:val="clear" w:color="auto" w:fill="FFFFFF"/>
        <w:spacing w:beforeAutospacing="1" w:afterAutospacing="1" w:line="276" w:lineRule="auto"/>
        <w:textAlignment w:val="baseline"/>
        <w:outlineLvl w:val="1"/>
        <w:rPr>
          <w:rFonts w:ascii="Times New Roman" w:hAnsi="Times New Roman"/>
          <w:sz w:val="22"/>
          <w:szCs w:val="22"/>
          <w:u w:val="single"/>
        </w:rPr>
      </w:pPr>
    </w:p>
    <w:p w14:paraId="161E6D00" w14:textId="77777777" w:rsidR="0062320C" w:rsidRPr="003D2E3E" w:rsidRDefault="0062320C" w:rsidP="0062320C">
      <w:pPr>
        <w:pStyle w:val="ListParagraph"/>
        <w:numPr>
          <w:ilvl w:val="0"/>
          <w:numId w:val="1"/>
        </w:numPr>
        <w:shd w:val="clear" w:color="auto" w:fill="FFFFFF"/>
        <w:spacing w:beforeAutospacing="1" w:afterAutospacing="1" w:line="276" w:lineRule="auto"/>
        <w:textAlignment w:val="baseline"/>
        <w:outlineLvl w:val="1"/>
        <w:rPr>
          <w:rFonts w:ascii="Times New Roman" w:hAnsi="Times New Roman"/>
          <w:sz w:val="22"/>
          <w:szCs w:val="22"/>
          <w:u w:val="single"/>
        </w:rPr>
      </w:pPr>
      <w:r w:rsidRPr="003D2E3E">
        <w:rPr>
          <w:rFonts w:ascii="Times New Roman" w:hAnsi="Times New Roman"/>
          <w:sz w:val="22"/>
          <w:szCs w:val="22"/>
          <w:u w:val="single"/>
        </w:rPr>
        <w:t xml:space="preserve">No </w:t>
      </w:r>
      <w:r>
        <w:rPr>
          <w:rFonts w:ascii="Times New Roman" w:hAnsi="Times New Roman"/>
          <w:sz w:val="22"/>
          <w:szCs w:val="22"/>
          <w:u w:val="single"/>
        </w:rPr>
        <w:t>P</w:t>
      </w:r>
      <w:r w:rsidRPr="003D2E3E">
        <w:rPr>
          <w:rFonts w:ascii="Times New Roman" w:hAnsi="Times New Roman"/>
          <w:sz w:val="22"/>
          <w:szCs w:val="22"/>
          <w:u w:val="single"/>
        </w:rPr>
        <w:t>roperty Matters</w:t>
      </w:r>
    </w:p>
    <w:p w14:paraId="284868CD" w14:textId="77777777" w:rsidR="0062320C" w:rsidRPr="00886BC7" w:rsidRDefault="0062320C" w:rsidP="0062320C">
      <w:pPr>
        <w:pStyle w:val="ListParagraph"/>
        <w:shd w:val="clear" w:color="auto" w:fill="FFFFFF"/>
        <w:spacing w:beforeAutospacing="1" w:afterAutospacing="1" w:line="276" w:lineRule="auto"/>
        <w:textAlignment w:val="baseline"/>
        <w:outlineLvl w:val="1"/>
        <w:rPr>
          <w:rFonts w:ascii="Times New Roman" w:hAnsi="Times New Roman"/>
          <w:sz w:val="22"/>
          <w:szCs w:val="22"/>
          <w:u w:val="single"/>
        </w:rPr>
      </w:pPr>
    </w:p>
    <w:p w14:paraId="7CE9451B" w14:textId="77777777" w:rsidR="0062320C" w:rsidRPr="00886BC7" w:rsidRDefault="0062320C" w:rsidP="0062320C">
      <w:pPr>
        <w:pStyle w:val="ListParagraph"/>
        <w:shd w:val="clear" w:color="auto" w:fill="FFFFFF"/>
        <w:spacing w:beforeAutospacing="1" w:afterAutospacing="1" w:line="276" w:lineRule="auto"/>
        <w:textAlignment w:val="baseline"/>
        <w:outlineLvl w:val="1"/>
        <w:rPr>
          <w:rFonts w:ascii="Times New Roman" w:hAnsi="Times New Roman"/>
          <w:sz w:val="22"/>
          <w:szCs w:val="22"/>
        </w:rPr>
      </w:pPr>
      <w:proofErr w:type="gramStart"/>
      <w:r w:rsidRPr="0025468E">
        <w:rPr>
          <w:rFonts w:ascii="Times New Roman" w:hAnsi="Times New Roman"/>
          <w:sz w:val="22"/>
          <w:szCs w:val="22"/>
        </w:rPr>
        <w:t>With the exception of</w:t>
      </w:r>
      <w:proofErr w:type="gramEnd"/>
      <w:r w:rsidRPr="0025468E">
        <w:rPr>
          <w:rFonts w:ascii="Times New Roman" w:hAnsi="Times New Roman"/>
          <w:sz w:val="22"/>
          <w:szCs w:val="22"/>
        </w:rPr>
        <w:t xml:space="preserve"> motions for exclusive possession of the family home, matters</w:t>
      </w:r>
      <w:r w:rsidRPr="00886BC7">
        <w:rPr>
          <w:rFonts w:ascii="Times New Roman" w:hAnsi="Times New Roman"/>
          <w:sz w:val="22"/>
          <w:szCs w:val="22"/>
        </w:rPr>
        <w:t xml:space="preserve"> related to property in family matters are generally not dealt with by an interim motion under either </w:t>
      </w:r>
      <w:r w:rsidRPr="001E66E8">
        <w:rPr>
          <w:rFonts w:ascii="Times New Roman" w:hAnsi="Times New Roman"/>
          <w:i/>
          <w:iCs/>
          <w:sz w:val="22"/>
          <w:szCs w:val="22"/>
        </w:rPr>
        <w:t xml:space="preserve">Rule </w:t>
      </w:r>
      <w:r w:rsidRPr="00886BC7">
        <w:rPr>
          <w:rFonts w:ascii="Times New Roman" w:hAnsi="Times New Roman"/>
          <w:sz w:val="22"/>
          <w:szCs w:val="22"/>
        </w:rPr>
        <w:t xml:space="preserve">70.15 or </w:t>
      </w:r>
      <w:r w:rsidRPr="001E66E8">
        <w:rPr>
          <w:rFonts w:ascii="Times New Roman" w:hAnsi="Times New Roman"/>
          <w:i/>
          <w:iCs/>
          <w:sz w:val="22"/>
          <w:szCs w:val="22"/>
        </w:rPr>
        <w:t>Rule</w:t>
      </w:r>
      <w:r w:rsidRPr="00886BC7">
        <w:rPr>
          <w:rFonts w:ascii="Times New Roman" w:hAnsi="Times New Roman"/>
          <w:sz w:val="22"/>
          <w:szCs w:val="22"/>
        </w:rPr>
        <w:t xml:space="preserve"> 71.08.</w:t>
      </w:r>
      <w:r>
        <w:rPr>
          <w:rFonts w:ascii="Times New Roman" w:hAnsi="Times New Roman"/>
          <w:sz w:val="22"/>
          <w:szCs w:val="22"/>
        </w:rPr>
        <w:t xml:space="preserve"> </w:t>
      </w:r>
    </w:p>
    <w:p w14:paraId="1C0D0556" w14:textId="77777777" w:rsidR="0062320C" w:rsidRDefault="0062320C" w:rsidP="0062320C">
      <w:pPr>
        <w:pStyle w:val="ListParagraph"/>
        <w:shd w:val="clear" w:color="auto" w:fill="FFFFFF"/>
        <w:spacing w:beforeAutospacing="1" w:afterAutospacing="1" w:line="276" w:lineRule="auto"/>
        <w:textAlignment w:val="baseline"/>
        <w:outlineLvl w:val="1"/>
        <w:rPr>
          <w:rFonts w:ascii="Times New Roman" w:hAnsi="Times New Roman"/>
          <w:color w:val="000000"/>
          <w:sz w:val="22"/>
          <w:szCs w:val="22"/>
          <w:u w:val="single"/>
        </w:rPr>
      </w:pPr>
    </w:p>
    <w:p w14:paraId="3A9276B4" w14:textId="77777777" w:rsidR="0062320C" w:rsidRPr="00886BC7" w:rsidRDefault="0062320C" w:rsidP="0062320C">
      <w:pPr>
        <w:pStyle w:val="ListParagraph"/>
        <w:shd w:val="clear" w:color="auto" w:fill="FFFFFF"/>
        <w:spacing w:beforeAutospacing="1" w:afterAutospacing="1" w:line="276" w:lineRule="auto"/>
        <w:textAlignment w:val="baseline"/>
        <w:outlineLvl w:val="1"/>
        <w:rPr>
          <w:rFonts w:ascii="Times New Roman" w:hAnsi="Times New Roman"/>
          <w:color w:val="000000"/>
          <w:sz w:val="22"/>
          <w:szCs w:val="22"/>
          <w:u w:val="single"/>
        </w:rPr>
      </w:pPr>
    </w:p>
    <w:p w14:paraId="1FE0B5A7" w14:textId="77777777" w:rsidR="0062320C" w:rsidRPr="00886BC7" w:rsidRDefault="0062320C" w:rsidP="0062320C">
      <w:pPr>
        <w:pStyle w:val="ListParagraph"/>
        <w:numPr>
          <w:ilvl w:val="0"/>
          <w:numId w:val="1"/>
        </w:numPr>
        <w:shd w:val="clear" w:color="auto" w:fill="FFFFFF"/>
        <w:spacing w:beforeAutospacing="1" w:afterAutospacing="1" w:line="276" w:lineRule="auto"/>
        <w:textAlignment w:val="baseline"/>
        <w:outlineLvl w:val="1"/>
        <w:rPr>
          <w:rFonts w:ascii="Times New Roman" w:hAnsi="Times New Roman"/>
          <w:color w:val="000000"/>
          <w:sz w:val="22"/>
          <w:szCs w:val="22"/>
          <w:u w:val="single"/>
        </w:rPr>
      </w:pPr>
      <w:r w:rsidRPr="00886BC7">
        <w:rPr>
          <w:rFonts w:ascii="Times New Roman" w:hAnsi="Times New Roman"/>
          <w:color w:val="000000"/>
          <w:sz w:val="22"/>
          <w:szCs w:val="22"/>
          <w:u w:val="single"/>
          <w:bdr w:val="none" w:sz="0" w:space="0" w:color="auto" w:frame="1"/>
        </w:rPr>
        <w:lastRenderedPageBreak/>
        <w:t>Restrictions on Affidavits</w:t>
      </w:r>
    </w:p>
    <w:p w14:paraId="0AA58E7B" w14:textId="77777777" w:rsidR="0062320C" w:rsidRPr="00886BC7" w:rsidRDefault="0062320C" w:rsidP="0062320C">
      <w:pPr>
        <w:shd w:val="clear" w:color="auto" w:fill="FFFFFF"/>
        <w:spacing w:before="100" w:beforeAutospacing="1" w:after="100" w:afterAutospacing="1" w:line="276" w:lineRule="auto"/>
        <w:ind w:left="720"/>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To eliminate the filing of unfocused affidavits, and unnecessarily voluminous attachments, affidavits are to comply with the </w:t>
      </w:r>
      <w:r>
        <w:rPr>
          <w:rFonts w:ascii="Times New Roman" w:hAnsi="Times New Roman"/>
          <w:color w:val="000000"/>
          <w:sz w:val="22"/>
          <w:szCs w:val="22"/>
        </w:rPr>
        <w:t>following:</w:t>
      </w:r>
    </w:p>
    <w:p w14:paraId="0C57AAC0" w14:textId="77777777" w:rsidR="0062320C" w:rsidRPr="00886BC7" w:rsidRDefault="0062320C" w:rsidP="0062320C">
      <w:pPr>
        <w:pStyle w:val="ListParagraph"/>
        <w:numPr>
          <w:ilvl w:val="0"/>
          <w:numId w:val="2"/>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Generally, each party is restricted to one primary affidavit in support of their position on the motion, which shall not exceed 10 pages.</w:t>
      </w:r>
    </w:p>
    <w:p w14:paraId="1A3E45B8" w14:textId="77777777" w:rsidR="0062320C" w:rsidRPr="00886BC7" w:rsidRDefault="0062320C" w:rsidP="0062320C">
      <w:pPr>
        <w:pStyle w:val="ListParagraph"/>
        <w:shd w:val="clear" w:color="auto" w:fill="FFFFFF"/>
        <w:spacing w:before="100" w:beforeAutospacing="1" w:after="100" w:afterAutospacing="1" w:line="276" w:lineRule="auto"/>
        <w:ind w:left="1440"/>
        <w:textAlignment w:val="baseline"/>
        <w:rPr>
          <w:rFonts w:ascii="Times New Roman" w:hAnsi="Times New Roman"/>
          <w:color w:val="000000"/>
          <w:sz w:val="22"/>
          <w:szCs w:val="22"/>
        </w:rPr>
      </w:pPr>
    </w:p>
    <w:p w14:paraId="62055FA3" w14:textId="77777777" w:rsidR="0062320C" w:rsidRPr="00886BC7" w:rsidRDefault="0062320C" w:rsidP="0062320C">
      <w:pPr>
        <w:pStyle w:val="ListParagraph"/>
        <w:numPr>
          <w:ilvl w:val="0"/>
          <w:numId w:val="2"/>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Any </w:t>
      </w:r>
      <w:proofErr w:type="gramStart"/>
      <w:r w:rsidRPr="00886BC7">
        <w:rPr>
          <w:rFonts w:ascii="Times New Roman" w:hAnsi="Times New Roman"/>
          <w:color w:val="000000"/>
          <w:sz w:val="22"/>
          <w:szCs w:val="22"/>
        </w:rPr>
        <w:t>reply</w:t>
      </w:r>
      <w:proofErr w:type="gramEnd"/>
      <w:r w:rsidRPr="00886BC7">
        <w:rPr>
          <w:rFonts w:ascii="Times New Roman" w:hAnsi="Times New Roman"/>
          <w:color w:val="000000"/>
          <w:sz w:val="22"/>
          <w:szCs w:val="22"/>
        </w:rPr>
        <w:t xml:space="preserve"> affidavit shall not exceed 5 pages.</w:t>
      </w:r>
    </w:p>
    <w:p w14:paraId="0332C81C" w14:textId="77777777" w:rsidR="0062320C" w:rsidRPr="00886BC7" w:rsidRDefault="0062320C" w:rsidP="0062320C">
      <w:pPr>
        <w:pStyle w:val="ListParagraph"/>
        <w:rPr>
          <w:rFonts w:ascii="Times New Roman" w:hAnsi="Times New Roman"/>
          <w:color w:val="000000"/>
          <w:sz w:val="22"/>
          <w:szCs w:val="22"/>
        </w:rPr>
      </w:pPr>
    </w:p>
    <w:p w14:paraId="4E33901F" w14:textId="77777777" w:rsidR="0062320C" w:rsidRPr="00906A20" w:rsidRDefault="0062320C" w:rsidP="0062320C">
      <w:pPr>
        <w:pStyle w:val="ListParagraph"/>
        <w:numPr>
          <w:ilvl w:val="0"/>
          <w:numId w:val="2"/>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Exhibits to a </w:t>
      </w:r>
      <w:r w:rsidRPr="00906A20">
        <w:rPr>
          <w:rFonts w:ascii="Times New Roman" w:hAnsi="Times New Roman"/>
          <w:color w:val="000000"/>
          <w:sz w:val="22"/>
          <w:szCs w:val="22"/>
        </w:rPr>
        <w:t xml:space="preserve">party’s affidavit shall be limited to only </w:t>
      </w:r>
      <w:r w:rsidRPr="00367BB8">
        <w:rPr>
          <w:rFonts w:ascii="Times New Roman" w:hAnsi="Times New Roman"/>
          <w:color w:val="000000"/>
          <w:sz w:val="22"/>
          <w:szCs w:val="22"/>
        </w:rPr>
        <w:t>the </w:t>
      </w:r>
      <w:r w:rsidRPr="00367BB8">
        <w:rPr>
          <w:rStyle w:val="Strong"/>
          <w:rFonts w:ascii="Times New Roman" w:hAnsi="Times New Roman"/>
          <w:b w:val="0"/>
          <w:bCs w:val="0"/>
          <w:color w:val="000000"/>
          <w:sz w:val="22"/>
          <w:szCs w:val="22"/>
          <w:bdr w:val="none" w:sz="0" w:space="0" w:color="auto" w:frame="1"/>
        </w:rPr>
        <w:t>necessary and relevant</w:t>
      </w:r>
      <w:r w:rsidRPr="00906A20">
        <w:rPr>
          <w:rFonts w:ascii="Times New Roman" w:hAnsi="Times New Roman"/>
          <w:color w:val="000000"/>
          <w:sz w:val="22"/>
          <w:szCs w:val="22"/>
        </w:rPr>
        <w:t> evidence and are not to exceed 10 pages in total. Litigants </w:t>
      </w:r>
      <w:r w:rsidRPr="000302CC">
        <w:rPr>
          <w:rStyle w:val="Strong"/>
          <w:rFonts w:ascii="Times New Roman" w:hAnsi="Times New Roman"/>
          <w:b w:val="0"/>
          <w:bCs w:val="0"/>
          <w:color w:val="000000"/>
          <w:sz w:val="22"/>
          <w:szCs w:val="22"/>
          <w:bdr w:val="none" w:sz="0" w:space="0" w:color="auto" w:frame="1"/>
        </w:rPr>
        <w:t>are not to</w:t>
      </w:r>
      <w:r w:rsidRPr="00906A20">
        <w:rPr>
          <w:rFonts w:ascii="Times New Roman" w:hAnsi="Times New Roman"/>
          <w:color w:val="000000"/>
          <w:sz w:val="22"/>
          <w:szCs w:val="22"/>
        </w:rPr>
        <w:t> include voluminous texts, emails and/or social media postings.  Instead, only the relevant and necessary </w:t>
      </w:r>
      <w:r w:rsidRPr="00367BB8">
        <w:rPr>
          <w:rStyle w:val="Strong"/>
          <w:rFonts w:ascii="Times New Roman" w:hAnsi="Times New Roman"/>
          <w:b w:val="0"/>
          <w:bCs w:val="0"/>
          <w:color w:val="000000"/>
          <w:sz w:val="22"/>
          <w:szCs w:val="22"/>
          <w:bdr w:val="none" w:sz="0" w:space="0" w:color="auto" w:frame="1"/>
        </w:rPr>
        <w:t>excerpts</w:t>
      </w:r>
      <w:r w:rsidRPr="00906A20">
        <w:rPr>
          <w:rFonts w:ascii="Times New Roman" w:hAnsi="Times New Roman"/>
          <w:color w:val="000000"/>
          <w:sz w:val="22"/>
          <w:szCs w:val="22"/>
        </w:rPr>
        <w:t xml:space="preserve"> from these communications are to be attached as exhibits. </w:t>
      </w:r>
    </w:p>
    <w:p w14:paraId="2B2CC6B6" w14:textId="77777777" w:rsidR="0062320C" w:rsidRPr="00906A20" w:rsidRDefault="0062320C" w:rsidP="0062320C">
      <w:pPr>
        <w:pStyle w:val="ListParagraph"/>
        <w:rPr>
          <w:rFonts w:ascii="Times New Roman" w:hAnsi="Times New Roman"/>
          <w:color w:val="000000"/>
          <w:sz w:val="22"/>
          <w:szCs w:val="22"/>
        </w:rPr>
      </w:pPr>
    </w:p>
    <w:p w14:paraId="6FD00F9A" w14:textId="3FB087A9" w:rsidR="0062320C" w:rsidRPr="00906A20" w:rsidRDefault="0062320C" w:rsidP="0062320C">
      <w:pPr>
        <w:pStyle w:val="ListParagraph"/>
        <w:numPr>
          <w:ilvl w:val="0"/>
          <w:numId w:val="2"/>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367BB8">
        <w:rPr>
          <w:rStyle w:val="Strong"/>
          <w:rFonts w:ascii="Times New Roman" w:hAnsi="Times New Roman"/>
          <w:b w:val="0"/>
          <w:bCs w:val="0"/>
          <w:color w:val="000000"/>
          <w:sz w:val="22"/>
          <w:szCs w:val="22"/>
          <w:bdr w:val="none" w:sz="0" w:space="0" w:color="auto" w:frame="1"/>
          <w:shd w:val="clear" w:color="auto" w:fill="FFFFFF"/>
        </w:rPr>
        <w:t>Leave is required to file affidavits or exhibits beyond the page limits described above. Leave will only be granted in exceptional circumstances</w:t>
      </w:r>
      <w:r w:rsidRPr="00906A20">
        <w:rPr>
          <w:rFonts w:ascii="Times New Roman" w:hAnsi="Times New Roman"/>
          <w:color w:val="000000"/>
          <w:sz w:val="22"/>
          <w:szCs w:val="22"/>
          <w:shd w:val="clear" w:color="auto" w:fill="FFFFFF"/>
        </w:rPr>
        <w:t xml:space="preserve">.  Requests for leave are to be made in </w:t>
      </w:r>
      <w:r w:rsidR="00367BB8" w:rsidRPr="00906A20">
        <w:rPr>
          <w:rFonts w:ascii="Times New Roman" w:hAnsi="Times New Roman"/>
          <w:color w:val="000000"/>
          <w:sz w:val="22"/>
          <w:szCs w:val="22"/>
          <w:shd w:val="clear" w:color="auto" w:fill="FFFFFF"/>
        </w:rPr>
        <w:t>writing</w:t>
      </w:r>
      <w:r w:rsidRPr="00906A20">
        <w:rPr>
          <w:rFonts w:ascii="Times New Roman" w:hAnsi="Times New Roman"/>
          <w:color w:val="000000"/>
          <w:sz w:val="22"/>
          <w:szCs w:val="22"/>
          <w:shd w:val="clear" w:color="auto" w:fill="FFFFFF"/>
        </w:rPr>
        <w:t xml:space="preserve"> by letter to the Registrar. </w:t>
      </w:r>
      <w:r>
        <w:rPr>
          <w:rFonts w:ascii="Times New Roman" w:hAnsi="Times New Roman"/>
          <w:color w:val="000000"/>
          <w:sz w:val="22"/>
          <w:szCs w:val="22"/>
          <w:shd w:val="clear" w:color="auto" w:fill="FFFFFF"/>
        </w:rPr>
        <w:t>Leave may also be sought from the presiding judge at the pre-motion conference.</w:t>
      </w:r>
    </w:p>
    <w:p w14:paraId="1BF37ED5" w14:textId="77777777" w:rsidR="0062320C" w:rsidRPr="00886BC7" w:rsidRDefault="0062320C" w:rsidP="0062320C">
      <w:pPr>
        <w:pStyle w:val="ListParagraph"/>
        <w:rPr>
          <w:rFonts w:ascii="Times New Roman" w:hAnsi="Times New Roman"/>
          <w:color w:val="000000"/>
          <w:sz w:val="22"/>
          <w:szCs w:val="22"/>
        </w:rPr>
      </w:pPr>
    </w:p>
    <w:p w14:paraId="67557CD4" w14:textId="77777777" w:rsidR="0062320C" w:rsidRPr="00886BC7" w:rsidRDefault="0062320C" w:rsidP="0062320C">
      <w:pPr>
        <w:pStyle w:val="ListParagraph"/>
        <w:numPr>
          <w:ilvl w:val="0"/>
          <w:numId w:val="2"/>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These page limits do not apply to motions or applications in Director of Child Protection matters. </w:t>
      </w:r>
    </w:p>
    <w:p w14:paraId="55A2CDD8" w14:textId="77777777" w:rsidR="0062320C" w:rsidRPr="00886BC7" w:rsidRDefault="0062320C" w:rsidP="0062320C">
      <w:pPr>
        <w:pStyle w:val="ListParagraph"/>
        <w:spacing w:line="276" w:lineRule="auto"/>
        <w:rPr>
          <w:rFonts w:ascii="Times New Roman" w:hAnsi="Times New Roman"/>
          <w:b/>
          <w:bCs/>
          <w:caps/>
          <w:sz w:val="22"/>
          <w:szCs w:val="22"/>
        </w:rPr>
      </w:pPr>
    </w:p>
    <w:p w14:paraId="61BFC8D5" w14:textId="77777777" w:rsidR="0062320C" w:rsidRDefault="0062320C" w:rsidP="0062320C">
      <w:pPr>
        <w:pStyle w:val="ListParagraph"/>
        <w:tabs>
          <w:tab w:val="left" w:pos="-1440"/>
        </w:tabs>
        <w:spacing w:line="276" w:lineRule="auto"/>
        <w:jc w:val="both"/>
        <w:rPr>
          <w:rFonts w:ascii="Times New Roman" w:hAnsi="Times New Roman"/>
          <w:sz w:val="22"/>
          <w:szCs w:val="22"/>
          <w:u w:val="single"/>
          <w:lang w:val="en-GB"/>
        </w:rPr>
      </w:pPr>
    </w:p>
    <w:p w14:paraId="15888CC4" w14:textId="77777777" w:rsidR="0062320C" w:rsidRPr="00906A20" w:rsidRDefault="0062320C" w:rsidP="0062320C">
      <w:pPr>
        <w:pStyle w:val="ListParagraph"/>
        <w:numPr>
          <w:ilvl w:val="0"/>
          <w:numId w:val="1"/>
        </w:numPr>
        <w:tabs>
          <w:tab w:val="left" w:pos="-1440"/>
        </w:tabs>
        <w:spacing w:line="276" w:lineRule="auto"/>
        <w:jc w:val="both"/>
        <w:rPr>
          <w:rFonts w:ascii="Times New Roman" w:hAnsi="Times New Roman"/>
          <w:sz w:val="22"/>
          <w:szCs w:val="22"/>
          <w:u w:val="single"/>
          <w:lang w:val="en-GB"/>
        </w:rPr>
      </w:pPr>
      <w:r w:rsidRPr="00906A20">
        <w:rPr>
          <w:rFonts w:ascii="Times New Roman" w:hAnsi="Times New Roman"/>
          <w:sz w:val="22"/>
          <w:szCs w:val="22"/>
          <w:u w:val="single"/>
          <w:lang w:val="en-GB"/>
        </w:rPr>
        <w:t>Cross-Examination</w:t>
      </w:r>
    </w:p>
    <w:p w14:paraId="328CF892" w14:textId="77777777" w:rsidR="0062320C" w:rsidRPr="00886BC7" w:rsidRDefault="0062320C" w:rsidP="0062320C">
      <w:pPr>
        <w:spacing w:line="276" w:lineRule="auto"/>
        <w:jc w:val="both"/>
        <w:rPr>
          <w:rFonts w:ascii="Times New Roman" w:hAnsi="Times New Roman"/>
          <w:b/>
          <w:bCs/>
          <w:sz w:val="22"/>
          <w:szCs w:val="22"/>
          <w:lang w:val="en-GB"/>
        </w:rPr>
      </w:pPr>
    </w:p>
    <w:p w14:paraId="6528C9CF" w14:textId="77777777" w:rsidR="0062320C" w:rsidRPr="00886BC7" w:rsidRDefault="0062320C" w:rsidP="0062320C">
      <w:pPr>
        <w:pStyle w:val="ListParagraph"/>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Subject to the direction of the presiding judge, </w:t>
      </w:r>
      <w:r>
        <w:rPr>
          <w:rFonts w:ascii="Times New Roman" w:hAnsi="Times New Roman"/>
          <w:sz w:val="22"/>
          <w:szCs w:val="22"/>
          <w:lang w:val="en-GB"/>
        </w:rPr>
        <w:t xml:space="preserve">leave is </w:t>
      </w:r>
      <w:r w:rsidRPr="00886BC7">
        <w:rPr>
          <w:rFonts w:ascii="Times New Roman" w:hAnsi="Times New Roman"/>
          <w:sz w:val="22"/>
          <w:szCs w:val="22"/>
          <w:lang w:val="en-GB"/>
        </w:rPr>
        <w:t xml:space="preserve">generally </w:t>
      </w:r>
      <w:r>
        <w:rPr>
          <w:rFonts w:ascii="Times New Roman" w:hAnsi="Times New Roman"/>
          <w:sz w:val="22"/>
          <w:szCs w:val="22"/>
          <w:lang w:val="en-GB"/>
        </w:rPr>
        <w:t xml:space="preserve">not </w:t>
      </w:r>
      <w:r w:rsidRPr="00886BC7">
        <w:rPr>
          <w:rFonts w:ascii="Times New Roman" w:hAnsi="Times New Roman"/>
          <w:sz w:val="22"/>
          <w:szCs w:val="22"/>
          <w:lang w:val="en-GB"/>
        </w:rPr>
        <w:t>require</w:t>
      </w:r>
      <w:r>
        <w:rPr>
          <w:rFonts w:ascii="Times New Roman" w:hAnsi="Times New Roman"/>
          <w:sz w:val="22"/>
          <w:szCs w:val="22"/>
          <w:lang w:val="en-GB"/>
        </w:rPr>
        <w:t>d</w:t>
      </w:r>
      <w:r w:rsidRPr="00886BC7">
        <w:rPr>
          <w:rFonts w:ascii="Times New Roman" w:hAnsi="Times New Roman"/>
          <w:sz w:val="22"/>
          <w:szCs w:val="22"/>
          <w:lang w:val="en-GB"/>
        </w:rPr>
        <w:t xml:space="preserve"> to cross-examine a witness on their affidavit where parenting time, decision-making responsibility, child support, or spousal support are at issue.</w:t>
      </w:r>
    </w:p>
    <w:p w14:paraId="68D3030E" w14:textId="77777777" w:rsidR="0062320C" w:rsidRPr="00886BC7" w:rsidRDefault="0062320C" w:rsidP="0062320C">
      <w:pPr>
        <w:pStyle w:val="ListParagraph"/>
        <w:spacing w:line="276" w:lineRule="auto"/>
        <w:jc w:val="both"/>
        <w:rPr>
          <w:rFonts w:ascii="Times New Roman" w:hAnsi="Times New Roman"/>
          <w:sz w:val="22"/>
          <w:szCs w:val="22"/>
          <w:lang w:val="en-GB"/>
        </w:rPr>
      </w:pPr>
    </w:p>
    <w:p w14:paraId="02292FC5" w14:textId="77777777" w:rsidR="0062320C" w:rsidRDefault="0062320C" w:rsidP="0062320C">
      <w:pPr>
        <w:pStyle w:val="ListParagraph"/>
        <w:spacing w:line="276" w:lineRule="auto"/>
        <w:rPr>
          <w:rFonts w:ascii="Times New Roman" w:hAnsi="Times New Roman"/>
          <w:sz w:val="22"/>
          <w:szCs w:val="22"/>
          <w:u w:val="single"/>
          <w:lang w:val="en-GB"/>
        </w:rPr>
      </w:pPr>
    </w:p>
    <w:p w14:paraId="011A3977" w14:textId="77777777" w:rsidR="0062320C" w:rsidRPr="00886BC7" w:rsidRDefault="0062320C" w:rsidP="0062320C">
      <w:pPr>
        <w:pStyle w:val="ListParagraph"/>
        <w:numPr>
          <w:ilvl w:val="0"/>
          <w:numId w:val="1"/>
        </w:numPr>
        <w:spacing w:line="276" w:lineRule="auto"/>
        <w:rPr>
          <w:rFonts w:ascii="Times New Roman" w:hAnsi="Times New Roman"/>
          <w:sz w:val="22"/>
          <w:szCs w:val="22"/>
          <w:u w:val="single"/>
          <w:lang w:val="en-GB"/>
        </w:rPr>
      </w:pPr>
      <w:r w:rsidRPr="00886BC7">
        <w:rPr>
          <w:rFonts w:ascii="Times New Roman" w:hAnsi="Times New Roman"/>
          <w:sz w:val="22"/>
          <w:szCs w:val="22"/>
          <w:u w:val="single"/>
          <w:lang w:val="en-GB"/>
        </w:rPr>
        <w:t>Factum Required</w:t>
      </w:r>
    </w:p>
    <w:p w14:paraId="661B33BE" w14:textId="77777777" w:rsidR="0062320C" w:rsidRPr="00886BC7" w:rsidRDefault="0062320C" w:rsidP="0062320C">
      <w:pPr>
        <w:spacing w:line="276" w:lineRule="auto"/>
        <w:rPr>
          <w:rFonts w:ascii="Times New Roman" w:hAnsi="Times New Roman"/>
          <w:sz w:val="22"/>
          <w:szCs w:val="22"/>
          <w:lang w:val="en-GB"/>
        </w:rPr>
      </w:pPr>
    </w:p>
    <w:p w14:paraId="3C9CE2A0" w14:textId="77777777" w:rsidR="0062320C" w:rsidRPr="00886BC7" w:rsidRDefault="0062320C" w:rsidP="0062320C">
      <w:pPr>
        <w:pStyle w:val="ListParagraph"/>
        <w:spacing w:line="276" w:lineRule="auto"/>
        <w:rPr>
          <w:rFonts w:ascii="Times New Roman" w:hAnsi="Times New Roman"/>
          <w:sz w:val="22"/>
          <w:szCs w:val="22"/>
          <w:lang w:val="en-GB"/>
        </w:rPr>
      </w:pPr>
      <w:r w:rsidRPr="00886BC7">
        <w:rPr>
          <w:rFonts w:ascii="Times New Roman" w:hAnsi="Times New Roman"/>
          <w:sz w:val="22"/>
          <w:szCs w:val="22"/>
          <w:lang w:val="en-GB"/>
        </w:rPr>
        <w:t>Unless the court directs otherwise, a factum is required for both motions and applications in the Family Section. Failure to file a factum (and memorandum of authorities) may result in the matter being adjourned.</w:t>
      </w:r>
    </w:p>
    <w:p w14:paraId="69AEDC5B" w14:textId="77777777" w:rsidR="0062320C" w:rsidRPr="00886BC7" w:rsidRDefault="0062320C" w:rsidP="0062320C">
      <w:pPr>
        <w:spacing w:line="276" w:lineRule="auto"/>
        <w:rPr>
          <w:rFonts w:ascii="Times New Roman" w:hAnsi="Times New Roman"/>
          <w:sz w:val="22"/>
          <w:szCs w:val="22"/>
          <w:lang w:val="en-GB"/>
        </w:rPr>
      </w:pPr>
    </w:p>
    <w:p w14:paraId="74486CCB" w14:textId="77777777" w:rsidR="0062320C" w:rsidRPr="00886BC7" w:rsidRDefault="0062320C" w:rsidP="0062320C">
      <w:pPr>
        <w:spacing w:line="276" w:lineRule="auto"/>
        <w:rPr>
          <w:rFonts w:ascii="Times New Roman" w:hAnsi="Times New Roman"/>
          <w:sz w:val="22"/>
          <w:szCs w:val="22"/>
          <w:highlight w:val="yellow"/>
          <w:u w:val="single"/>
          <w:lang w:val="en-GB"/>
        </w:rPr>
      </w:pPr>
    </w:p>
    <w:p w14:paraId="19828A81" w14:textId="77777777" w:rsidR="0062320C" w:rsidRDefault="0062320C" w:rsidP="0062320C">
      <w:pPr>
        <w:pStyle w:val="BodyText"/>
        <w:numPr>
          <w:ilvl w:val="0"/>
          <w:numId w:val="1"/>
        </w:numPr>
        <w:spacing w:after="0" w:line="276" w:lineRule="auto"/>
        <w:rPr>
          <w:rFonts w:ascii="Times New Roman" w:hAnsi="Times New Roman"/>
          <w:sz w:val="22"/>
          <w:szCs w:val="22"/>
          <w:u w:val="single"/>
        </w:rPr>
      </w:pPr>
      <w:r w:rsidRPr="00CE0417">
        <w:rPr>
          <w:rFonts w:ascii="Times New Roman" w:hAnsi="Times New Roman"/>
          <w:sz w:val="22"/>
          <w:szCs w:val="22"/>
          <w:u w:val="single"/>
        </w:rPr>
        <w:t>Motions By Responding Party</w:t>
      </w:r>
    </w:p>
    <w:p w14:paraId="400839ED" w14:textId="77777777" w:rsidR="0062320C" w:rsidRPr="00CE0417" w:rsidRDefault="0062320C" w:rsidP="0062320C">
      <w:pPr>
        <w:pStyle w:val="BodyText"/>
        <w:spacing w:after="0" w:line="276" w:lineRule="auto"/>
        <w:ind w:left="720"/>
        <w:rPr>
          <w:rFonts w:ascii="Times New Roman" w:hAnsi="Times New Roman"/>
          <w:sz w:val="22"/>
          <w:szCs w:val="22"/>
          <w:u w:val="single"/>
        </w:rPr>
      </w:pPr>
    </w:p>
    <w:p w14:paraId="16A30261" w14:textId="77777777" w:rsidR="0062320C" w:rsidRPr="00906A20" w:rsidRDefault="0062320C" w:rsidP="0062320C">
      <w:pPr>
        <w:pStyle w:val="BodyText"/>
        <w:numPr>
          <w:ilvl w:val="1"/>
          <w:numId w:val="1"/>
        </w:numPr>
        <w:spacing w:after="0" w:line="276" w:lineRule="auto"/>
        <w:rPr>
          <w:rFonts w:ascii="Times New Roman" w:hAnsi="Times New Roman"/>
          <w:sz w:val="22"/>
          <w:szCs w:val="22"/>
        </w:rPr>
      </w:pPr>
      <w:r w:rsidRPr="00906A20">
        <w:rPr>
          <w:rFonts w:ascii="Times New Roman" w:hAnsi="Times New Roman"/>
          <w:sz w:val="22"/>
          <w:szCs w:val="22"/>
        </w:rPr>
        <w:t>If a responding party to a motion merely wishes to oppose the relief sought by the moving party, it is not necessary for the responding party to file a further motion.</w:t>
      </w:r>
    </w:p>
    <w:p w14:paraId="069F0F72" w14:textId="77777777" w:rsidR="0062320C" w:rsidRDefault="0062320C" w:rsidP="0062320C">
      <w:pPr>
        <w:pStyle w:val="BodyText"/>
        <w:spacing w:line="276" w:lineRule="auto"/>
        <w:ind w:left="1440"/>
        <w:rPr>
          <w:rFonts w:ascii="Times New Roman" w:hAnsi="Times New Roman"/>
          <w:sz w:val="22"/>
          <w:szCs w:val="22"/>
        </w:rPr>
      </w:pPr>
    </w:p>
    <w:p w14:paraId="1F20317A" w14:textId="77777777" w:rsidR="0062320C" w:rsidRPr="00906A20" w:rsidRDefault="0062320C" w:rsidP="0062320C">
      <w:pPr>
        <w:pStyle w:val="BodyText"/>
        <w:spacing w:line="276" w:lineRule="auto"/>
        <w:ind w:left="1440"/>
        <w:rPr>
          <w:rFonts w:ascii="Times New Roman" w:hAnsi="Times New Roman"/>
          <w:sz w:val="22"/>
          <w:szCs w:val="22"/>
        </w:rPr>
      </w:pPr>
    </w:p>
    <w:p w14:paraId="3116DD7A" w14:textId="77777777" w:rsidR="0062320C" w:rsidRPr="00906A20" w:rsidRDefault="0062320C" w:rsidP="0062320C">
      <w:pPr>
        <w:pStyle w:val="BodyText"/>
        <w:numPr>
          <w:ilvl w:val="1"/>
          <w:numId w:val="1"/>
        </w:numPr>
        <w:spacing w:after="0" w:line="276" w:lineRule="auto"/>
        <w:rPr>
          <w:rFonts w:ascii="Times New Roman" w:hAnsi="Times New Roman"/>
          <w:sz w:val="22"/>
          <w:szCs w:val="22"/>
        </w:rPr>
      </w:pPr>
      <w:r w:rsidRPr="00906A20">
        <w:rPr>
          <w:rFonts w:ascii="Times New Roman" w:hAnsi="Times New Roman"/>
          <w:sz w:val="22"/>
          <w:szCs w:val="22"/>
        </w:rPr>
        <w:lastRenderedPageBreak/>
        <w:t xml:space="preserve">Pursuant to </w:t>
      </w:r>
      <w:r w:rsidRPr="00822307">
        <w:rPr>
          <w:rFonts w:ascii="Times New Roman" w:hAnsi="Times New Roman"/>
          <w:i/>
          <w:iCs/>
          <w:sz w:val="22"/>
          <w:szCs w:val="22"/>
        </w:rPr>
        <w:t>Rules</w:t>
      </w:r>
      <w:r w:rsidRPr="00906A20">
        <w:rPr>
          <w:rFonts w:ascii="Times New Roman" w:hAnsi="Times New Roman"/>
          <w:sz w:val="22"/>
          <w:szCs w:val="22"/>
        </w:rPr>
        <w:t xml:space="preserve"> 70.15(9) and 71.08, if the responding party to a motion seeks relief outside the subject matter of the relief sought by the moving party, a further motion is generally required. The additional motion shall have the same court file number as the </w:t>
      </w:r>
      <w:r>
        <w:rPr>
          <w:rFonts w:ascii="Times New Roman" w:hAnsi="Times New Roman"/>
          <w:sz w:val="22"/>
          <w:szCs w:val="22"/>
        </w:rPr>
        <w:t xml:space="preserve">moving party’s </w:t>
      </w:r>
      <w:r w:rsidRPr="00906A20">
        <w:rPr>
          <w:rFonts w:ascii="Times New Roman" w:hAnsi="Times New Roman"/>
          <w:sz w:val="22"/>
          <w:szCs w:val="22"/>
        </w:rPr>
        <w:t>original motion.</w:t>
      </w:r>
    </w:p>
    <w:p w14:paraId="553B6816" w14:textId="77777777" w:rsidR="0062320C" w:rsidRPr="00906A20" w:rsidRDefault="0062320C" w:rsidP="0062320C">
      <w:pPr>
        <w:pStyle w:val="BodyText"/>
        <w:spacing w:line="276" w:lineRule="auto"/>
        <w:ind w:left="1440"/>
        <w:rPr>
          <w:rFonts w:ascii="Times New Roman" w:hAnsi="Times New Roman"/>
          <w:sz w:val="22"/>
          <w:szCs w:val="22"/>
        </w:rPr>
      </w:pPr>
    </w:p>
    <w:p w14:paraId="6314FADE" w14:textId="77777777" w:rsidR="0062320C" w:rsidRDefault="0062320C" w:rsidP="0062320C">
      <w:pPr>
        <w:pStyle w:val="BodyText"/>
        <w:numPr>
          <w:ilvl w:val="1"/>
          <w:numId w:val="1"/>
        </w:numPr>
        <w:spacing w:after="0" w:line="276" w:lineRule="auto"/>
        <w:rPr>
          <w:rFonts w:ascii="Times New Roman" w:hAnsi="Times New Roman"/>
          <w:sz w:val="22"/>
          <w:szCs w:val="22"/>
        </w:rPr>
      </w:pPr>
      <w:r w:rsidRPr="00906A20">
        <w:rPr>
          <w:rFonts w:ascii="Times New Roman" w:hAnsi="Times New Roman"/>
          <w:sz w:val="22"/>
          <w:szCs w:val="22"/>
        </w:rPr>
        <w:t xml:space="preserve">Depending on a multitude of factors, including the subject matter of the relief sought in the new motion, and the timing of the filing of the new motion, the court will either direct that the new motion be heard on the same date as the original motion, or a different date. The court may direct case management to address this issue. </w:t>
      </w:r>
    </w:p>
    <w:p w14:paraId="38DCCE0F" w14:textId="77777777" w:rsidR="00ED1BFF" w:rsidRDefault="00ED1BFF"/>
    <w:sectPr w:rsidR="00ED1B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134A" w14:textId="77777777" w:rsidR="00AD03A9" w:rsidRDefault="00AD03A9" w:rsidP="00F77BAE">
      <w:r>
        <w:separator/>
      </w:r>
    </w:p>
  </w:endnote>
  <w:endnote w:type="continuationSeparator" w:id="0">
    <w:p w14:paraId="5D05457D" w14:textId="77777777" w:rsidR="00AD03A9" w:rsidRDefault="00AD03A9" w:rsidP="00F7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Omega">
    <w:altName w:val="Candara"/>
    <w:panose1 w:val="020B0502050508020304"/>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75869"/>
      <w:docPartObj>
        <w:docPartGallery w:val="Page Numbers (Bottom of Page)"/>
        <w:docPartUnique/>
      </w:docPartObj>
    </w:sdtPr>
    <w:sdtEndPr>
      <w:rPr>
        <w:noProof/>
      </w:rPr>
    </w:sdtEndPr>
    <w:sdtContent>
      <w:p w14:paraId="6F27C14C" w14:textId="0ED14A62" w:rsidR="00F77BAE" w:rsidRDefault="00F77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0F320C" w14:textId="77777777" w:rsidR="00F77BAE" w:rsidRDefault="00F7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5DF2" w14:textId="77777777" w:rsidR="00AD03A9" w:rsidRDefault="00AD03A9" w:rsidP="00F77BAE">
      <w:r>
        <w:separator/>
      </w:r>
    </w:p>
  </w:footnote>
  <w:footnote w:type="continuationSeparator" w:id="0">
    <w:p w14:paraId="7409AD34" w14:textId="77777777" w:rsidR="00AD03A9" w:rsidRDefault="00AD03A9" w:rsidP="00F7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B6A"/>
    <w:multiLevelType w:val="hybridMultilevel"/>
    <w:tmpl w:val="16587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52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02C80"/>
    <w:multiLevelType w:val="hybridMultilevel"/>
    <w:tmpl w:val="D4FAF8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1151411">
    <w:abstractNumId w:val="0"/>
  </w:num>
  <w:num w:numId="2" w16cid:durableId="85774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0C"/>
    <w:rsid w:val="000302CC"/>
    <w:rsid w:val="000824AF"/>
    <w:rsid w:val="000D2C6D"/>
    <w:rsid w:val="00367BB8"/>
    <w:rsid w:val="003E4C92"/>
    <w:rsid w:val="00424F8B"/>
    <w:rsid w:val="004B03A6"/>
    <w:rsid w:val="004C60FA"/>
    <w:rsid w:val="0062320C"/>
    <w:rsid w:val="008D7D56"/>
    <w:rsid w:val="009230C7"/>
    <w:rsid w:val="00AC5DD7"/>
    <w:rsid w:val="00AD03A9"/>
    <w:rsid w:val="00B42811"/>
    <w:rsid w:val="00C15A3F"/>
    <w:rsid w:val="00D62ABD"/>
    <w:rsid w:val="00E864A0"/>
    <w:rsid w:val="00ED1BFF"/>
    <w:rsid w:val="00F7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05C2"/>
  <w15:chartTrackingRefBased/>
  <w15:docId w15:val="{4F8FA197-0699-4D7D-BA94-205701DD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0C"/>
    <w:pPr>
      <w:widowControl w:val="0"/>
      <w:autoSpaceDE w:val="0"/>
      <w:autoSpaceDN w:val="0"/>
      <w:adjustRightInd w:val="0"/>
    </w:pPr>
    <w:rPr>
      <w:rFonts w:ascii="CG Omega" w:eastAsia="Times New Roman" w:hAnsi="CG Omega" w:cs="Times New Roman"/>
      <w:kern w:val="0"/>
      <w:sz w:val="20"/>
      <w14:ligatures w14:val="none"/>
    </w:rPr>
  </w:style>
  <w:style w:type="paragraph" w:styleId="Heading1">
    <w:name w:val="heading 1"/>
    <w:basedOn w:val="Normal"/>
    <w:next w:val="Normal"/>
    <w:link w:val="Heading1Char"/>
    <w:uiPriority w:val="9"/>
    <w:qFormat/>
    <w:rsid w:val="00623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2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2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32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32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2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2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2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2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2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32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32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32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32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32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3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2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2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32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20C"/>
    <w:rPr>
      <w:i/>
      <w:iCs/>
      <w:color w:val="404040" w:themeColor="text1" w:themeTint="BF"/>
    </w:rPr>
  </w:style>
  <w:style w:type="paragraph" w:styleId="ListParagraph">
    <w:name w:val="List Paragraph"/>
    <w:basedOn w:val="Normal"/>
    <w:uiPriority w:val="34"/>
    <w:qFormat/>
    <w:rsid w:val="0062320C"/>
    <w:pPr>
      <w:ind w:left="720"/>
      <w:contextualSpacing/>
    </w:pPr>
  </w:style>
  <w:style w:type="character" w:styleId="IntenseEmphasis">
    <w:name w:val="Intense Emphasis"/>
    <w:basedOn w:val="DefaultParagraphFont"/>
    <w:uiPriority w:val="21"/>
    <w:qFormat/>
    <w:rsid w:val="0062320C"/>
    <w:rPr>
      <w:i/>
      <w:iCs/>
      <w:color w:val="0F4761" w:themeColor="accent1" w:themeShade="BF"/>
    </w:rPr>
  </w:style>
  <w:style w:type="paragraph" w:styleId="IntenseQuote">
    <w:name w:val="Intense Quote"/>
    <w:basedOn w:val="Normal"/>
    <w:next w:val="Normal"/>
    <w:link w:val="IntenseQuoteChar"/>
    <w:uiPriority w:val="30"/>
    <w:qFormat/>
    <w:rsid w:val="00623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20C"/>
    <w:rPr>
      <w:i/>
      <w:iCs/>
      <w:color w:val="0F4761" w:themeColor="accent1" w:themeShade="BF"/>
    </w:rPr>
  </w:style>
  <w:style w:type="character" w:styleId="IntenseReference">
    <w:name w:val="Intense Reference"/>
    <w:basedOn w:val="DefaultParagraphFont"/>
    <w:uiPriority w:val="32"/>
    <w:qFormat/>
    <w:rsid w:val="0062320C"/>
    <w:rPr>
      <w:b/>
      <w:bCs/>
      <w:smallCaps/>
      <w:color w:val="0F4761" w:themeColor="accent1" w:themeShade="BF"/>
      <w:spacing w:val="5"/>
    </w:rPr>
  </w:style>
  <w:style w:type="paragraph" w:customStyle="1" w:styleId="Default">
    <w:name w:val="Default"/>
    <w:rsid w:val="0062320C"/>
    <w:pPr>
      <w:autoSpaceDE w:val="0"/>
      <w:autoSpaceDN w:val="0"/>
      <w:adjustRightInd w:val="0"/>
    </w:pPr>
    <w:rPr>
      <w:rFonts w:ascii="Calibri" w:hAnsi="Calibri" w:cs="Calibri"/>
      <w:color w:val="000000"/>
      <w:kern w:val="0"/>
      <w14:ligatures w14:val="none"/>
    </w:rPr>
  </w:style>
  <w:style w:type="paragraph" w:styleId="BodyText">
    <w:name w:val="Body Text"/>
    <w:basedOn w:val="Normal"/>
    <w:link w:val="BodyTextChar"/>
    <w:uiPriority w:val="99"/>
    <w:unhideWhenUsed/>
    <w:rsid w:val="0062320C"/>
    <w:pPr>
      <w:spacing w:after="120"/>
    </w:pPr>
  </w:style>
  <w:style w:type="character" w:customStyle="1" w:styleId="BodyTextChar">
    <w:name w:val="Body Text Char"/>
    <w:basedOn w:val="DefaultParagraphFont"/>
    <w:link w:val="BodyText"/>
    <w:uiPriority w:val="99"/>
    <w:rsid w:val="0062320C"/>
    <w:rPr>
      <w:rFonts w:ascii="CG Omega" w:eastAsia="Times New Roman" w:hAnsi="CG Omega" w:cs="Times New Roman"/>
      <w:kern w:val="0"/>
      <w:sz w:val="20"/>
      <w14:ligatures w14:val="none"/>
    </w:rPr>
  </w:style>
  <w:style w:type="character" w:styleId="Strong">
    <w:name w:val="Strong"/>
    <w:basedOn w:val="DefaultParagraphFont"/>
    <w:uiPriority w:val="22"/>
    <w:qFormat/>
    <w:rsid w:val="0062320C"/>
    <w:rPr>
      <w:b/>
      <w:bCs/>
    </w:rPr>
  </w:style>
  <w:style w:type="paragraph" w:styleId="Header">
    <w:name w:val="header"/>
    <w:basedOn w:val="Normal"/>
    <w:link w:val="HeaderChar"/>
    <w:uiPriority w:val="99"/>
    <w:unhideWhenUsed/>
    <w:rsid w:val="00F77BAE"/>
    <w:pPr>
      <w:tabs>
        <w:tab w:val="center" w:pos="4680"/>
        <w:tab w:val="right" w:pos="9360"/>
      </w:tabs>
    </w:pPr>
  </w:style>
  <w:style w:type="character" w:customStyle="1" w:styleId="HeaderChar">
    <w:name w:val="Header Char"/>
    <w:basedOn w:val="DefaultParagraphFont"/>
    <w:link w:val="Header"/>
    <w:uiPriority w:val="99"/>
    <w:rsid w:val="00F77BAE"/>
    <w:rPr>
      <w:rFonts w:ascii="CG Omega" w:eastAsia="Times New Roman" w:hAnsi="CG Omega" w:cs="Times New Roman"/>
      <w:kern w:val="0"/>
      <w:sz w:val="20"/>
      <w14:ligatures w14:val="none"/>
    </w:rPr>
  </w:style>
  <w:style w:type="paragraph" w:styleId="Footer">
    <w:name w:val="footer"/>
    <w:basedOn w:val="Normal"/>
    <w:link w:val="FooterChar"/>
    <w:uiPriority w:val="99"/>
    <w:unhideWhenUsed/>
    <w:rsid w:val="00F77BAE"/>
    <w:pPr>
      <w:tabs>
        <w:tab w:val="center" w:pos="4680"/>
        <w:tab w:val="right" w:pos="9360"/>
      </w:tabs>
    </w:pPr>
  </w:style>
  <w:style w:type="character" w:customStyle="1" w:styleId="FooterChar">
    <w:name w:val="Footer Char"/>
    <w:basedOn w:val="DefaultParagraphFont"/>
    <w:link w:val="Footer"/>
    <w:uiPriority w:val="99"/>
    <w:rsid w:val="00F77BAE"/>
    <w:rPr>
      <w:rFonts w:ascii="CG Omega" w:eastAsia="Times New Roman" w:hAnsi="CG Omega"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Company>ITSS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Watts</dc:creator>
  <cp:keywords/>
  <dc:description/>
  <cp:lastModifiedBy>Sheila Gallant</cp:lastModifiedBy>
  <cp:revision>2</cp:revision>
  <dcterms:created xsi:type="dcterms:W3CDTF">2026-05-29T12:03:00Z</dcterms:created>
  <dcterms:modified xsi:type="dcterms:W3CDTF">2026-05-29T12:03:00Z</dcterms:modified>
</cp:coreProperties>
</file>