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CF6CD" w14:textId="77777777" w:rsidR="00EB3BD1" w:rsidRPr="00D0360D" w:rsidRDefault="00EB3BD1" w:rsidP="00EB3BD1">
      <w:pPr>
        <w:pStyle w:val="Default"/>
        <w:spacing w:line="276" w:lineRule="auto"/>
        <w:ind w:left="720"/>
        <w:jc w:val="center"/>
        <w:rPr>
          <w:rFonts w:ascii="Times New Roman" w:hAnsi="Times New Roman" w:cs="Times New Roman"/>
          <w:b/>
          <w:bCs/>
          <w:sz w:val="22"/>
          <w:szCs w:val="22"/>
        </w:rPr>
      </w:pPr>
      <w:r>
        <w:rPr>
          <w:rFonts w:ascii="Times New Roman" w:hAnsi="Times New Roman" w:cs="Times New Roman"/>
          <w:b/>
          <w:bCs/>
          <w:sz w:val="22"/>
          <w:szCs w:val="22"/>
        </w:rPr>
        <w:t>A</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EF0749">
        <w:rPr>
          <w:rFonts w:ascii="Times New Roman" w:hAnsi="Times New Roman"/>
          <w:b/>
          <w:bCs/>
          <w:sz w:val="22"/>
          <w:szCs w:val="22"/>
        </w:rPr>
        <w:t>GENERAL PROCEDURE</w:t>
      </w:r>
    </w:p>
    <w:p w14:paraId="6FC519D2" w14:textId="77777777" w:rsidR="00EB3BD1" w:rsidRDefault="00EB3BD1" w:rsidP="00EB3BD1">
      <w:pPr>
        <w:widowControl/>
        <w:autoSpaceDE/>
        <w:autoSpaceDN/>
        <w:adjustRightInd/>
        <w:spacing w:after="160" w:line="276" w:lineRule="auto"/>
        <w:jc w:val="center"/>
        <w:rPr>
          <w:rFonts w:ascii="Times New Roman" w:hAnsi="Times New Roman"/>
          <w:b/>
          <w:bCs/>
          <w:sz w:val="22"/>
          <w:szCs w:val="22"/>
        </w:rPr>
      </w:pPr>
    </w:p>
    <w:p w14:paraId="777C8E16" w14:textId="77777777" w:rsidR="00EB3BD1" w:rsidRPr="00EF0749" w:rsidRDefault="00EB3BD1" w:rsidP="00EB3BD1">
      <w:pPr>
        <w:widowControl/>
        <w:numPr>
          <w:ilvl w:val="0"/>
          <w:numId w:val="1"/>
        </w:numPr>
        <w:autoSpaceDE/>
        <w:autoSpaceDN/>
        <w:adjustRightInd/>
        <w:spacing w:after="160" w:line="276" w:lineRule="auto"/>
        <w:contextualSpacing/>
        <w:rPr>
          <w:rFonts w:ascii="Times New Roman" w:eastAsia="Aptos" w:hAnsi="Times New Roman"/>
          <w:sz w:val="22"/>
          <w:szCs w:val="22"/>
          <w:u w:val="single"/>
        </w:rPr>
      </w:pPr>
      <w:r w:rsidRPr="00EF0749">
        <w:rPr>
          <w:rFonts w:ascii="Times New Roman" w:eastAsia="Aptos" w:hAnsi="Times New Roman"/>
          <w:sz w:val="22"/>
          <w:szCs w:val="22"/>
          <w:u w:val="single"/>
        </w:rPr>
        <w:t>Overview</w:t>
      </w:r>
    </w:p>
    <w:p w14:paraId="0063EB7D" w14:textId="77777777" w:rsidR="00EB3BD1" w:rsidRPr="00EF0749" w:rsidRDefault="00EB3BD1" w:rsidP="00EB3BD1">
      <w:pPr>
        <w:widowControl/>
        <w:autoSpaceDE/>
        <w:autoSpaceDN/>
        <w:adjustRightInd/>
        <w:spacing w:after="160" w:line="276" w:lineRule="auto"/>
        <w:ind w:left="720"/>
        <w:contextualSpacing/>
        <w:rPr>
          <w:rFonts w:ascii="Times New Roman" w:eastAsia="Aptos" w:hAnsi="Times New Roman"/>
          <w:sz w:val="22"/>
          <w:szCs w:val="22"/>
        </w:rPr>
      </w:pPr>
    </w:p>
    <w:p w14:paraId="144DD9E1" w14:textId="77777777" w:rsidR="00EB3BD1" w:rsidRPr="00EF0749" w:rsidRDefault="00EB3BD1" w:rsidP="00EB3BD1">
      <w:pPr>
        <w:widowControl/>
        <w:numPr>
          <w:ilvl w:val="1"/>
          <w:numId w:val="1"/>
        </w:numPr>
        <w:autoSpaceDE/>
        <w:autoSpaceDN/>
        <w:adjustRightInd/>
        <w:spacing w:after="160" w:line="276" w:lineRule="auto"/>
        <w:contextualSpacing/>
        <w:rPr>
          <w:rFonts w:ascii="Times New Roman" w:eastAsia="Aptos" w:hAnsi="Times New Roman"/>
          <w:sz w:val="22"/>
          <w:szCs w:val="22"/>
        </w:rPr>
      </w:pPr>
      <w:r w:rsidRPr="00EF0749">
        <w:rPr>
          <w:rFonts w:ascii="Times New Roman" w:eastAsia="Aptos" w:hAnsi="Times New Roman"/>
          <w:sz w:val="22"/>
          <w:szCs w:val="22"/>
        </w:rPr>
        <w:t xml:space="preserve">While this Practice Direction covers </w:t>
      </w:r>
      <w:proofErr w:type="gramStart"/>
      <w:r w:rsidRPr="00EF0749">
        <w:rPr>
          <w:rFonts w:ascii="Times New Roman" w:eastAsia="Aptos" w:hAnsi="Times New Roman"/>
          <w:sz w:val="22"/>
          <w:szCs w:val="22"/>
        </w:rPr>
        <w:t>a number of</w:t>
      </w:r>
      <w:proofErr w:type="gramEnd"/>
      <w:r w:rsidRPr="00EF0749">
        <w:rPr>
          <w:rFonts w:ascii="Times New Roman" w:eastAsia="Aptos" w:hAnsi="Times New Roman"/>
          <w:sz w:val="22"/>
          <w:szCs w:val="22"/>
        </w:rPr>
        <w:t xml:space="preserve"> general areas applicable to criminal matters, lawyers and self-represented parties are reminded that other Practice Directions also apply where appropriate (for example, Practice Directions related to court procedure and </w:t>
      </w:r>
      <w:proofErr w:type="gramStart"/>
      <w:r w:rsidRPr="00EF0749">
        <w:rPr>
          <w:rFonts w:ascii="Times New Roman" w:eastAsia="Aptos" w:hAnsi="Times New Roman"/>
          <w:sz w:val="22"/>
          <w:szCs w:val="22"/>
        </w:rPr>
        <w:t>decorum, and</w:t>
      </w:r>
      <w:proofErr w:type="gramEnd"/>
      <w:r w:rsidRPr="00EF0749">
        <w:rPr>
          <w:rFonts w:ascii="Times New Roman" w:eastAsia="Aptos" w:hAnsi="Times New Roman"/>
          <w:sz w:val="22"/>
          <w:szCs w:val="22"/>
        </w:rPr>
        <w:t xml:space="preserve"> related to documents and authorities).</w:t>
      </w:r>
    </w:p>
    <w:p w14:paraId="09AC3A73" w14:textId="77777777" w:rsidR="00EB3BD1" w:rsidRPr="00EF0749" w:rsidRDefault="00EB3BD1" w:rsidP="00EB3BD1">
      <w:pPr>
        <w:spacing w:line="276" w:lineRule="auto"/>
        <w:ind w:left="720"/>
        <w:contextualSpacing/>
        <w:rPr>
          <w:rFonts w:ascii="Times New Roman" w:eastAsia="Aptos" w:hAnsi="Times New Roman"/>
          <w:sz w:val="22"/>
          <w:szCs w:val="22"/>
        </w:rPr>
      </w:pPr>
    </w:p>
    <w:p w14:paraId="2F4B07FB" w14:textId="77777777" w:rsidR="00EB3BD1" w:rsidRPr="00886BC7" w:rsidRDefault="00EB3BD1" w:rsidP="00EB3BD1">
      <w:pPr>
        <w:widowControl/>
        <w:numPr>
          <w:ilvl w:val="1"/>
          <w:numId w:val="1"/>
        </w:numPr>
        <w:autoSpaceDE/>
        <w:autoSpaceDN/>
        <w:adjustRightInd/>
        <w:spacing w:after="160" w:line="276" w:lineRule="auto"/>
        <w:contextualSpacing/>
        <w:rPr>
          <w:rFonts w:ascii="Times New Roman" w:eastAsia="Aptos" w:hAnsi="Times New Roman"/>
          <w:sz w:val="22"/>
          <w:szCs w:val="22"/>
        </w:rPr>
      </w:pPr>
      <w:r w:rsidRPr="00EF0749">
        <w:rPr>
          <w:rFonts w:ascii="Times New Roman" w:eastAsia="Aptos" w:hAnsi="Times New Roman"/>
          <w:sz w:val="22"/>
          <w:szCs w:val="22"/>
        </w:rPr>
        <w:t>In the absence of stand-alone Criminal Section rules of procedure in this province, directions and timelines set by the court, including through the criminal pre-trial conference regime and at arraignments, are intended to facilitate the orderly and timely consideration – and determination</w:t>
      </w:r>
      <w:r w:rsidRPr="00886BC7">
        <w:rPr>
          <w:rFonts w:ascii="Times New Roman" w:eastAsia="Aptos" w:hAnsi="Times New Roman"/>
          <w:sz w:val="22"/>
          <w:szCs w:val="22"/>
        </w:rPr>
        <w:t xml:space="preserve"> – of criminal matters. </w:t>
      </w:r>
    </w:p>
    <w:p w14:paraId="6C7DE8AD" w14:textId="77777777" w:rsidR="00EB3BD1" w:rsidRPr="00886BC7" w:rsidRDefault="00EB3BD1" w:rsidP="00EB3BD1">
      <w:pPr>
        <w:spacing w:line="276" w:lineRule="auto"/>
        <w:ind w:left="720"/>
        <w:contextualSpacing/>
        <w:rPr>
          <w:rFonts w:ascii="Times New Roman" w:eastAsia="Aptos" w:hAnsi="Times New Roman"/>
          <w:sz w:val="22"/>
          <w:szCs w:val="22"/>
        </w:rPr>
      </w:pPr>
    </w:p>
    <w:p w14:paraId="3554259E" w14:textId="77777777" w:rsidR="00EB3BD1" w:rsidRPr="00886BC7" w:rsidRDefault="00EB3BD1" w:rsidP="00EB3BD1">
      <w:pPr>
        <w:widowControl/>
        <w:numPr>
          <w:ilvl w:val="1"/>
          <w:numId w:val="1"/>
        </w:numPr>
        <w:autoSpaceDE/>
        <w:autoSpaceDN/>
        <w:adjustRightInd/>
        <w:spacing w:after="160" w:line="276" w:lineRule="auto"/>
        <w:contextualSpacing/>
        <w:rPr>
          <w:rFonts w:ascii="Times New Roman" w:eastAsia="Aptos" w:hAnsi="Times New Roman"/>
          <w:sz w:val="22"/>
          <w:szCs w:val="22"/>
        </w:rPr>
      </w:pPr>
      <w:r>
        <w:rPr>
          <w:rFonts w:ascii="Times New Roman" w:eastAsia="Aptos" w:hAnsi="Times New Roman"/>
          <w:sz w:val="22"/>
          <w:szCs w:val="22"/>
        </w:rPr>
        <w:t>U</w:t>
      </w:r>
      <w:r w:rsidRPr="00886BC7">
        <w:rPr>
          <w:rFonts w:ascii="Times New Roman" w:eastAsia="Aptos" w:hAnsi="Times New Roman"/>
          <w:sz w:val="22"/>
          <w:szCs w:val="22"/>
        </w:rPr>
        <w:t xml:space="preserve">nless the court directs otherwise, or unless specifically directed by the </w:t>
      </w:r>
      <w:r w:rsidRPr="00D13A71">
        <w:rPr>
          <w:rFonts w:ascii="Times New Roman" w:eastAsia="Aptos" w:hAnsi="Times New Roman"/>
          <w:i/>
          <w:iCs/>
          <w:sz w:val="22"/>
          <w:szCs w:val="22"/>
        </w:rPr>
        <w:t>Criminal Code</w:t>
      </w:r>
      <w:r w:rsidRPr="00886BC7">
        <w:rPr>
          <w:rFonts w:ascii="Times New Roman" w:eastAsia="Aptos" w:hAnsi="Times New Roman"/>
          <w:sz w:val="22"/>
          <w:szCs w:val="22"/>
        </w:rPr>
        <w:t xml:space="preserve">, the timelines </w:t>
      </w:r>
      <w:r>
        <w:rPr>
          <w:rFonts w:ascii="Times New Roman" w:eastAsia="Aptos" w:hAnsi="Times New Roman"/>
          <w:sz w:val="22"/>
          <w:szCs w:val="22"/>
        </w:rPr>
        <w:t xml:space="preserve">set out below </w:t>
      </w:r>
      <w:r w:rsidRPr="00886BC7">
        <w:rPr>
          <w:rFonts w:ascii="Times New Roman" w:eastAsia="Aptos" w:hAnsi="Times New Roman"/>
          <w:sz w:val="22"/>
          <w:szCs w:val="22"/>
        </w:rPr>
        <w:t>apply</w:t>
      </w:r>
      <w:r>
        <w:rPr>
          <w:rFonts w:ascii="Times New Roman" w:eastAsia="Aptos" w:hAnsi="Times New Roman"/>
          <w:sz w:val="22"/>
          <w:szCs w:val="22"/>
        </w:rPr>
        <w:t>.</w:t>
      </w:r>
      <w:r w:rsidRPr="00886BC7">
        <w:rPr>
          <w:rFonts w:ascii="Times New Roman" w:eastAsia="Aptos" w:hAnsi="Times New Roman"/>
          <w:sz w:val="22"/>
          <w:szCs w:val="22"/>
        </w:rPr>
        <w:t xml:space="preserve"> </w:t>
      </w:r>
    </w:p>
    <w:p w14:paraId="7833E01C" w14:textId="77777777" w:rsidR="00EB3BD1" w:rsidRPr="00886BC7" w:rsidRDefault="00EB3BD1" w:rsidP="00EB3BD1">
      <w:pPr>
        <w:spacing w:line="276" w:lineRule="auto"/>
        <w:ind w:left="720"/>
        <w:contextualSpacing/>
        <w:rPr>
          <w:rFonts w:ascii="Times New Roman" w:eastAsia="Aptos" w:hAnsi="Times New Roman"/>
          <w:sz w:val="22"/>
          <w:szCs w:val="22"/>
        </w:rPr>
      </w:pPr>
    </w:p>
    <w:p w14:paraId="79297779" w14:textId="77777777" w:rsidR="00EB3BD1" w:rsidRDefault="00EB3BD1" w:rsidP="00EB3BD1">
      <w:pPr>
        <w:widowControl/>
        <w:numPr>
          <w:ilvl w:val="1"/>
          <w:numId w:val="1"/>
        </w:numPr>
        <w:autoSpaceDE/>
        <w:autoSpaceDN/>
        <w:adjustRightInd/>
        <w:spacing w:after="160" w:line="276" w:lineRule="auto"/>
        <w:contextualSpacing/>
        <w:rPr>
          <w:rFonts w:ascii="Times New Roman" w:eastAsia="Aptos" w:hAnsi="Times New Roman"/>
          <w:sz w:val="22"/>
          <w:szCs w:val="22"/>
        </w:rPr>
      </w:pPr>
      <w:r w:rsidRPr="00886BC7">
        <w:rPr>
          <w:rFonts w:ascii="Times New Roman" w:eastAsia="Aptos" w:hAnsi="Times New Roman"/>
          <w:sz w:val="22"/>
          <w:szCs w:val="22"/>
        </w:rPr>
        <w:t xml:space="preserve">Non-compliance with the directions and timelines set by the court, and in particular late filings, impacts scheduling, judicial resources, the administration of justice and access to justice. In situations where the directions and timelines set by the court are not complied with, consequences may follow, including potential adjournments. </w:t>
      </w:r>
    </w:p>
    <w:p w14:paraId="46D94CFA" w14:textId="77777777" w:rsidR="00EB3BD1" w:rsidRDefault="00EB3BD1" w:rsidP="00EB3BD1">
      <w:pPr>
        <w:widowControl/>
        <w:autoSpaceDE/>
        <w:autoSpaceDN/>
        <w:adjustRightInd/>
        <w:spacing w:after="160" w:line="276" w:lineRule="auto"/>
        <w:ind w:left="1440"/>
        <w:contextualSpacing/>
        <w:rPr>
          <w:rFonts w:ascii="Times New Roman" w:eastAsia="Aptos" w:hAnsi="Times New Roman"/>
          <w:sz w:val="22"/>
          <w:szCs w:val="22"/>
        </w:rPr>
      </w:pPr>
    </w:p>
    <w:p w14:paraId="196ADB94" w14:textId="77777777" w:rsidR="00EB3BD1" w:rsidRPr="00801620" w:rsidRDefault="00EB3BD1" w:rsidP="00EB3BD1">
      <w:pPr>
        <w:widowControl/>
        <w:numPr>
          <w:ilvl w:val="1"/>
          <w:numId w:val="1"/>
        </w:numPr>
        <w:autoSpaceDE/>
        <w:autoSpaceDN/>
        <w:adjustRightInd/>
        <w:spacing w:after="160" w:line="276" w:lineRule="auto"/>
        <w:contextualSpacing/>
        <w:rPr>
          <w:rFonts w:ascii="Times New Roman" w:eastAsia="Aptos" w:hAnsi="Times New Roman"/>
          <w:sz w:val="22"/>
          <w:szCs w:val="22"/>
        </w:rPr>
      </w:pPr>
      <w:r w:rsidRPr="00801620">
        <w:rPr>
          <w:rFonts w:ascii="Times New Roman" w:eastAsia="Aptos" w:hAnsi="Times New Roman"/>
          <w:sz w:val="22"/>
          <w:szCs w:val="22"/>
        </w:rPr>
        <w:t>Lawyers, and self-represented parties, are reminded that forwarding or providing a document to a clerk or trial coordinator does not constitute filing with the Registrar.</w:t>
      </w:r>
    </w:p>
    <w:p w14:paraId="33767E8E" w14:textId="77777777" w:rsidR="00EB3BD1" w:rsidRPr="00886BC7" w:rsidRDefault="00EB3BD1" w:rsidP="00EB3BD1">
      <w:pPr>
        <w:spacing w:line="276" w:lineRule="auto"/>
        <w:ind w:left="720"/>
        <w:contextualSpacing/>
        <w:rPr>
          <w:rFonts w:ascii="Times New Roman" w:eastAsia="Aptos" w:hAnsi="Times New Roman"/>
          <w:sz w:val="22"/>
          <w:szCs w:val="22"/>
        </w:rPr>
      </w:pPr>
    </w:p>
    <w:p w14:paraId="63E1D37E" w14:textId="77777777" w:rsidR="00EB3BD1" w:rsidRPr="001E21E8" w:rsidRDefault="00EB3BD1" w:rsidP="00EB3BD1">
      <w:pPr>
        <w:widowControl/>
        <w:autoSpaceDE/>
        <w:autoSpaceDN/>
        <w:adjustRightInd/>
        <w:spacing w:after="160" w:line="276" w:lineRule="auto"/>
        <w:ind w:left="720"/>
        <w:contextualSpacing/>
        <w:rPr>
          <w:rFonts w:ascii="Times New Roman" w:eastAsia="Aptos" w:hAnsi="Times New Roman"/>
          <w:sz w:val="22"/>
          <w:szCs w:val="22"/>
        </w:rPr>
      </w:pPr>
    </w:p>
    <w:p w14:paraId="697B74AB" w14:textId="77777777" w:rsidR="00EB3BD1" w:rsidRPr="00EF0749" w:rsidRDefault="00EB3BD1" w:rsidP="00EB3BD1">
      <w:pPr>
        <w:widowControl/>
        <w:numPr>
          <w:ilvl w:val="0"/>
          <w:numId w:val="1"/>
        </w:numPr>
        <w:autoSpaceDE/>
        <w:autoSpaceDN/>
        <w:adjustRightInd/>
        <w:spacing w:after="160" w:line="276" w:lineRule="auto"/>
        <w:contextualSpacing/>
        <w:rPr>
          <w:rFonts w:ascii="Times New Roman" w:eastAsia="Aptos" w:hAnsi="Times New Roman"/>
          <w:sz w:val="22"/>
          <w:szCs w:val="22"/>
        </w:rPr>
      </w:pPr>
      <w:r w:rsidRPr="00EF0749">
        <w:rPr>
          <w:rFonts w:ascii="Times New Roman" w:eastAsia="Aptos" w:hAnsi="Times New Roman"/>
          <w:sz w:val="22"/>
          <w:szCs w:val="22"/>
          <w:u w:val="single"/>
        </w:rPr>
        <w:t>Service and Filing - Applications</w:t>
      </w:r>
    </w:p>
    <w:p w14:paraId="4037B38A" w14:textId="77777777" w:rsidR="00EB3BD1" w:rsidRPr="00EF0749" w:rsidRDefault="00EB3BD1" w:rsidP="00EB3BD1">
      <w:pPr>
        <w:spacing w:line="276" w:lineRule="auto"/>
        <w:ind w:left="720"/>
        <w:contextualSpacing/>
        <w:rPr>
          <w:rFonts w:ascii="Times New Roman" w:eastAsia="Aptos" w:hAnsi="Times New Roman"/>
          <w:sz w:val="22"/>
          <w:szCs w:val="22"/>
        </w:rPr>
      </w:pPr>
    </w:p>
    <w:p w14:paraId="33EF92CB" w14:textId="77777777" w:rsidR="00EB3BD1" w:rsidRPr="00EF0749" w:rsidRDefault="00EB3BD1" w:rsidP="00EB3BD1">
      <w:pPr>
        <w:pStyle w:val="ListParagraph"/>
        <w:numPr>
          <w:ilvl w:val="1"/>
          <w:numId w:val="1"/>
        </w:numPr>
        <w:spacing w:line="276" w:lineRule="auto"/>
        <w:rPr>
          <w:rFonts w:ascii="Times New Roman" w:hAnsi="Times New Roman"/>
          <w:sz w:val="22"/>
          <w:szCs w:val="22"/>
          <w:lang w:val="en-CA"/>
        </w:rPr>
      </w:pPr>
      <w:r w:rsidRPr="00EF0749">
        <w:rPr>
          <w:rFonts w:ascii="Times New Roman" w:hAnsi="Times New Roman"/>
          <w:i/>
          <w:iCs/>
          <w:sz w:val="22"/>
          <w:szCs w:val="22"/>
          <w:lang w:val="en-CA"/>
        </w:rPr>
        <w:t>Rule</w:t>
      </w:r>
      <w:r w:rsidRPr="00EF0749">
        <w:rPr>
          <w:rFonts w:ascii="Times New Roman" w:hAnsi="Times New Roman"/>
          <w:sz w:val="22"/>
          <w:szCs w:val="22"/>
          <w:lang w:val="en-CA"/>
        </w:rPr>
        <w:t xml:space="preserve"> 38 of the </w:t>
      </w:r>
      <w:r w:rsidRPr="00EF0749">
        <w:rPr>
          <w:rFonts w:ascii="Times New Roman" w:hAnsi="Times New Roman"/>
          <w:i/>
          <w:iCs/>
          <w:sz w:val="22"/>
          <w:szCs w:val="22"/>
          <w:lang w:val="en-CA"/>
        </w:rPr>
        <w:t>Rules of Civil Procedure</w:t>
      </w:r>
      <w:r w:rsidRPr="00EF0749">
        <w:rPr>
          <w:rFonts w:ascii="Times New Roman" w:hAnsi="Times New Roman"/>
          <w:sz w:val="22"/>
          <w:szCs w:val="22"/>
          <w:lang w:val="en-CA"/>
        </w:rPr>
        <w:t xml:space="preserve"> requires that a notice of application be issued by the court, as it is an originating process. However, for Criminal Section matters, the indictment is the originating process. Therefore, notices of application in the Criminal Section are not to be issued; rather, they are to be served, and then filed with the court, with proof of service.</w:t>
      </w:r>
    </w:p>
    <w:p w14:paraId="08DF5189" w14:textId="77777777" w:rsidR="00EB3BD1" w:rsidRPr="00EF0749" w:rsidRDefault="00EB3BD1" w:rsidP="00EB3BD1">
      <w:pPr>
        <w:widowControl/>
        <w:autoSpaceDE/>
        <w:autoSpaceDN/>
        <w:adjustRightInd/>
        <w:spacing w:after="160" w:line="276" w:lineRule="auto"/>
        <w:ind w:left="1080"/>
        <w:rPr>
          <w:rFonts w:ascii="Times New Roman" w:eastAsia="Aptos" w:hAnsi="Times New Roman"/>
          <w:sz w:val="22"/>
          <w:szCs w:val="22"/>
        </w:rPr>
      </w:pPr>
    </w:p>
    <w:p w14:paraId="7A47BBCC" w14:textId="77777777" w:rsidR="00EB3BD1" w:rsidRPr="00EF0749" w:rsidRDefault="00EB3BD1" w:rsidP="00EB3BD1">
      <w:pPr>
        <w:widowControl/>
        <w:numPr>
          <w:ilvl w:val="1"/>
          <w:numId w:val="1"/>
        </w:numPr>
        <w:autoSpaceDE/>
        <w:autoSpaceDN/>
        <w:adjustRightInd/>
        <w:spacing w:after="160" w:line="276" w:lineRule="auto"/>
        <w:rPr>
          <w:rFonts w:ascii="Times New Roman" w:eastAsia="Aptos" w:hAnsi="Times New Roman"/>
          <w:sz w:val="22"/>
          <w:szCs w:val="22"/>
        </w:rPr>
      </w:pPr>
      <w:r>
        <w:rPr>
          <w:rFonts w:ascii="Times New Roman" w:eastAsia="Aptos" w:hAnsi="Times New Roman"/>
          <w:sz w:val="22"/>
          <w:szCs w:val="22"/>
        </w:rPr>
        <w:t>T</w:t>
      </w:r>
      <w:r w:rsidRPr="00EF0749">
        <w:rPr>
          <w:rFonts w:ascii="Times New Roman" w:eastAsia="Aptos" w:hAnsi="Times New Roman"/>
          <w:sz w:val="22"/>
          <w:szCs w:val="22"/>
        </w:rPr>
        <w:t xml:space="preserve">he materials in support of the application are to be served and filed no later than 14 days before the scheduled date of the application. The materials of the responding party are to be served and filed no later than seven days before the scheduled date of the application. </w:t>
      </w:r>
    </w:p>
    <w:p w14:paraId="2CFC88CE" w14:textId="77777777" w:rsidR="00EB3BD1" w:rsidRDefault="00EB3BD1" w:rsidP="00EB3BD1">
      <w:pPr>
        <w:widowControl/>
        <w:autoSpaceDE/>
        <w:autoSpaceDN/>
        <w:adjustRightInd/>
        <w:spacing w:after="160" w:line="276" w:lineRule="auto"/>
        <w:ind w:left="720"/>
        <w:rPr>
          <w:rFonts w:ascii="Times New Roman" w:eastAsia="Aptos" w:hAnsi="Times New Roman"/>
          <w:sz w:val="22"/>
          <w:szCs w:val="22"/>
        </w:rPr>
      </w:pPr>
    </w:p>
    <w:p w14:paraId="6F191EE0" w14:textId="77777777" w:rsidR="00EB3BD1" w:rsidRDefault="00EB3BD1" w:rsidP="00EB3BD1">
      <w:pPr>
        <w:widowControl/>
        <w:autoSpaceDE/>
        <w:autoSpaceDN/>
        <w:adjustRightInd/>
        <w:spacing w:after="160" w:line="276" w:lineRule="auto"/>
        <w:ind w:left="720"/>
        <w:rPr>
          <w:rFonts w:ascii="Times New Roman" w:eastAsia="Aptos" w:hAnsi="Times New Roman"/>
          <w:sz w:val="22"/>
          <w:szCs w:val="22"/>
        </w:rPr>
      </w:pPr>
    </w:p>
    <w:p w14:paraId="6D724A05" w14:textId="77777777" w:rsidR="0087541C" w:rsidRDefault="0087541C" w:rsidP="00EB3BD1">
      <w:pPr>
        <w:widowControl/>
        <w:autoSpaceDE/>
        <w:autoSpaceDN/>
        <w:adjustRightInd/>
        <w:spacing w:after="160" w:line="276" w:lineRule="auto"/>
        <w:ind w:left="720"/>
        <w:rPr>
          <w:rFonts w:ascii="Times New Roman" w:eastAsia="Aptos" w:hAnsi="Times New Roman"/>
          <w:sz w:val="22"/>
          <w:szCs w:val="22"/>
        </w:rPr>
      </w:pPr>
    </w:p>
    <w:p w14:paraId="31C261A0" w14:textId="77777777" w:rsidR="00EB3BD1" w:rsidRPr="001E21E8" w:rsidRDefault="00EB3BD1" w:rsidP="00EB3BD1">
      <w:pPr>
        <w:widowControl/>
        <w:autoSpaceDE/>
        <w:autoSpaceDN/>
        <w:adjustRightInd/>
        <w:spacing w:after="160" w:line="276" w:lineRule="auto"/>
        <w:ind w:left="720"/>
        <w:rPr>
          <w:rFonts w:ascii="Times New Roman" w:eastAsia="Aptos" w:hAnsi="Times New Roman"/>
          <w:sz w:val="22"/>
          <w:szCs w:val="22"/>
        </w:rPr>
      </w:pPr>
    </w:p>
    <w:p w14:paraId="0928007C" w14:textId="77777777" w:rsidR="00EB3BD1" w:rsidRPr="00EF0749" w:rsidRDefault="00EB3BD1" w:rsidP="00EB3BD1">
      <w:pPr>
        <w:widowControl/>
        <w:numPr>
          <w:ilvl w:val="0"/>
          <w:numId w:val="1"/>
        </w:numPr>
        <w:autoSpaceDE/>
        <w:autoSpaceDN/>
        <w:adjustRightInd/>
        <w:spacing w:after="160" w:line="276" w:lineRule="auto"/>
        <w:rPr>
          <w:rFonts w:ascii="Times New Roman" w:eastAsia="Aptos" w:hAnsi="Times New Roman"/>
          <w:sz w:val="22"/>
          <w:szCs w:val="22"/>
        </w:rPr>
      </w:pPr>
      <w:r w:rsidRPr="00EF0749">
        <w:rPr>
          <w:rFonts w:ascii="Times New Roman" w:eastAsia="Aptos" w:hAnsi="Times New Roman"/>
          <w:sz w:val="22"/>
          <w:szCs w:val="22"/>
          <w:u w:val="single"/>
        </w:rPr>
        <w:lastRenderedPageBreak/>
        <w:t>Service and Filing - Sentencing</w:t>
      </w:r>
    </w:p>
    <w:p w14:paraId="5EA741DA" w14:textId="77777777" w:rsidR="00EB3BD1" w:rsidRDefault="00EB3BD1" w:rsidP="00EB3BD1">
      <w:pPr>
        <w:widowControl/>
        <w:numPr>
          <w:ilvl w:val="1"/>
          <w:numId w:val="1"/>
        </w:numPr>
        <w:autoSpaceDE/>
        <w:autoSpaceDN/>
        <w:adjustRightInd/>
        <w:spacing w:after="160" w:line="276" w:lineRule="auto"/>
        <w:contextualSpacing/>
        <w:rPr>
          <w:rFonts w:ascii="Times New Roman" w:eastAsia="Aptos" w:hAnsi="Times New Roman"/>
          <w:sz w:val="22"/>
          <w:szCs w:val="22"/>
        </w:rPr>
      </w:pPr>
      <w:r w:rsidRPr="00886BC7">
        <w:rPr>
          <w:rFonts w:ascii="Times New Roman" w:eastAsia="Aptos" w:hAnsi="Times New Roman"/>
          <w:sz w:val="22"/>
          <w:szCs w:val="22"/>
        </w:rPr>
        <w:t xml:space="preserve">Generally, for sentencing hearings, the expectation is that written submissions shall be served and filed. </w:t>
      </w:r>
      <w:r>
        <w:rPr>
          <w:rFonts w:ascii="Times New Roman" w:eastAsia="Aptos" w:hAnsi="Times New Roman"/>
          <w:sz w:val="22"/>
          <w:szCs w:val="22"/>
        </w:rPr>
        <w:t>T</w:t>
      </w:r>
      <w:r w:rsidRPr="00886BC7">
        <w:rPr>
          <w:rFonts w:ascii="Times New Roman" w:eastAsia="Aptos" w:hAnsi="Times New Roman"/>
          <w:sz w:val="22"/>
          <w:szCs w:val="22"/>
        </w:rPr>
        <w:t>he Crown’s written submissions are to be served and filed no later than 14 days before the scheduled date of the sentencing hearing</w:t>
      </w:r>
      <w:r>
        <w:rPr>
          <w:rFonts w:ascii="Times New Roman" w:eastAsia="Aptos" w:hAnsi="Times New Roman"/>
          <w:sz w:val="22"/>
          <w:szCs w:val="22"/>
        </w:rPr>
        <w:t>.</w:t>
      </w:r>
      <w:r w:rsidRPr="00886BC7">
        <w:rPr>
          <w:rFonts w:ascii="Times New Roman" w:eastAsia="Aptos" w:hAnsi="Times New Roman"/>
          <w:sz w:val="22"/>
          <w:szCs w:val="22"/>
        </w:rPr>
        <w:t xml:space="preserve"> </w:t>
      </w:r>
      <w:r>
        <w:rPr>
          <w:rFonts w:ascii="Times New Roman" w:eastAsia="Aptos" w:hAnsi="Times New Roman"/>
          <w:sz w:val="22"/>
          <w:szCs w:val="22"/>
        </w:rPr>
        <w:t>T</w:t>
      </w:r>
      <w:r w:rsidRPr="00886BC7">
        <w:rPr>
          <w:rFonts w:ascii="Times New Roman" w:eastAsia="Aptos" w:hAnsi="Times New Roman"/>
          <w:sz w:val="22"/>
          <w:szCs w:val="22"/>
        </w:rPr>
        <w:t xml:space="preserve">he responding materials of the accused, or </w:t>
      </w:r>
      <w:proofErr w:type="spellStart"/>
      <w:r w:rsidRPr="00886BC7">
        <w:rPr>
          <w:rFonts w:ascii="Times New Roman" w:eastAsia="Aptos" w:hAnsi="Times New Roman"/>
          <w:sz w:val="22"/>
          <w:szCs w:val="22"/>
        </w:rPr>
        <w:t>defence</w:t>
      </w:r>
      <w:proofErr w:type="spellEnd"/>
      <w:r w:rsidRPr="00886BC7">
        <w:rPr>
          <w:rFonts w:ascii="Times New Roman" w:eastAsia="Aptos" w:hAnsi="Times New Roman"/>
          <w:sz w:val="22"/>
          <w:szCs w:val="22"/>
        </w:rPr>
        <w:t xml:space="preserve"> counsel if applicable, are to be served and filed no later than seven days before the scheduled date of the sentencing hearing. </w:t>
      </w:r>
    </w:p>
    <w:p w14:paraId="519639DC" w14:textId="77777777" w:rsidR="00EB3BD1" w:rsidRPr="00801620" w:rsidRDefault="00EB3BD1" w:rsidP="00EB3BD1">
      <w:pPr>
        <w:widowControl/>
        <w:autoSpaceDE/>
        <w:autoSpaceDN/>
        <w:adjustRightInd/>
        <w:spacing w:after="160" w:line="276" w:lineRule="auto"/>
        <w:ind w:left="720"/>
        <w:contextualSpacing/>
        <w:rPr>
          <w:rFonts w:ascii="Times New Roman" w:eastAsia="Aptos" w:hAnsi="Times New Roman"/>
          <w:sz w:val="22"/>
          <w:szCs w:val="22"/>
        </w:rPr>
      </w:pPr>
    </w:p>
    <w:p w14:paraId="0B369BD2" w14:textId="77777777" w:rsidR="00EB3BD1" w:rsidRDefault="00EB3BD1" w:rsidP="00EB3BD1">
      <w:pPr>
        <w:widowControl/>
        <w:numPr>
          <w:ilvl w:val="1"/>
          <w:numId w:val="1"/>
        </w:numPr>
        <w:autoSpaceDE/>
        <w:autoSpaceDN/>
        <w:adjustRightInd/>
        <w:spacing w:after="160" w:line="276" w:lineRule="auto"/>
        <w:rPr>
          <w:rFonts w:ascii="Times New Roman" w:eastAsia="Aptos" w:hAnsi="Times New Roman"/>
          <w:sz w:val="22"/>
          <w:szCs w:val="22"/>
        </w:rPr>
      </w:pPr>
      <w:r w:rsidRPr="00886BC7">
        <w:rPr>
          <w:rFonts w:ascii="Times New Roman" w:eastAsia="Aptos" w:hAnsi="Times New Roman"/>
          <w:sz w:val="22"/>
          <w:szCs w:val="22"/>
        </w:rPr>
        <w:t xml:space="preserve">Where </w:t>
      </w:r>
      <w:r>
        <w:rPr>
          <w:rFonts w:ascii="Times New Roman" w:eastAsia="Aptos" w:hAnsi="Times New Roman"/>
          <w:sz w:val="22"/>
          <w:szCs w:val="22"/>
        </w:rPr>
        <w:t>lawyers</w:t>
      </w:r>
      <w:r w:rsidRPr="00886BC7">
        <w:rPr>
          <w:rFonts w:ascii="Times New Roman" w:eastAsia="Aptos" w:hAnsi="Times New Roman"/>
          <w:sz w:val="22"/>
          <w:szCs w:val="22"/>
        </w:rPr>
        <w:t xml:space="preserve"> intend to make a joint submission on sentence, the court should be advised no later than one week in advance of the scheduled sentencing hearing. </w:t>
      </w:r>
      <w:r>
        <w:rPr>
          <w:rFonts w:ascii="Times New Roman" w:eastAsia="Aptos" w:hAnsi="Times New Roman"/>
          <w:sz w:val="22"/>
          <w:szCs w:val="22"/>
        </w:rPr>
        <w:t>W</w:t>
      </w:r>
      <w:r w:rsidRPr="00886BC7">
        <w:rPr>
          <w:rFonts w:ascii="Times New Roman" w:eastAsia="Aptos" w:hAnsi="Times New Roman"/>
          <w:sz w:val="22"/>
          <w:szCs w:val="22"/>
        </w:rPr>
        <w:t xml:space="preserve">ritten submissions and case law on the joint submission </w:t>
      </w:r>
      <w:r>
        <w:rPr>
          <w:rFonts w:ascii="Times New Roman" w:eastAsia="Aptos" w:hAnsi="Times New Roman"/>
          <w:sz w:val="22"/>
          <w:szCs w:val="22"/>
        </w:rPr>
        <w:t>should</w:t>
      </w:r>
      <w:r w:rsidRPr="00886BC7">
        <w:rPr>
          <w:rFonts w:ascii="Times New Roman" w:eastAsia="Aptos" w:hAnsi="Times New Roman"/>
          <w:sz w:val="22"/>
          <w:szCs w:val="22"/>
        </w:rPr>
        <w:t xml:space="preserve"> be filed no later than one week before the scheduled sentencing hearing. </w:t>
      </w:r>
    </w:p>
    <w:p w14:paraId="4904742C" w14:textId="77777777" w:rsidR="00EB3BD1" w:rsidRDefault="00EB3BD1" w:rsidP="00EB3BD1">
      <w:pPr>
        <w:pStyle w:val="ListParagraph"/>
        <w:rPr>
          <w:rFonts w:ascii="Times New Roman" w:hAnsi="Times New Roman"/>
          <w:sz w:val="22"/>
          <w:szCs w:val="22"/>
        </w:rPr>
      </w:pPr>
    </w:p>
    <w:p w14:paraId="48C95CAC" w14:textId="4AE98E41" w:rsidR="00ED1BFF" w:rsidRDefault="00EB3BD1" w:rsidP="00EB3BD1">
      <w:r w:rsidRPr="0025468E">
        <w:rPr>
          <w:rFonts w:ascii="Times New Roman" w:hAnsi="Times New Roman"/>
          <w:sz w:val="22"/>
          <w:szCs w:val="22"/>
        </w:rPr>
        <w:t xml:space="preserve">Where there is an intention to call </w:t>
      </w:r>
      <w:r>
        <w:rPr>
          <w:rFonts w:ascii="Times New Roman" w:hAnsi="Times New Roman"/>
          <w:sz w:val="22"/>
          <w:szCs w:val="22"/>
        </w:rPr>
        <w:t xml:space="preserve">a witness to give </w:t>
      </w:r>
      <w:r w:rsidRPr="0025468E">
        <w:rPr>
          <w:rFonts w:ascii="Times New Roman" w:hAnsi="Times New Roman"/>
          <w:sz w:val="22"/>
          <w:szCs w:val="22"/>
        </w:rPr>
        <w:t>expert opinion evidence at a sentencing hearing, timely notice is to be provided to the trial coordinator, and the court may provide direction.</w:t>
      </w:r>
    </w:p>
    <w:sectPr w:rsidR="00ED1B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E55BF" w14:textId="77777777" w:rsidR="0087541C" w:rsidRDefault="0087541C" w:rsidP="0087541C">
      <w:r>
        <w:separator/>
      </w:r>
    </w:p>
  </w:endnote>
  <w:endnote w:type="continuationSeparator" w:id="0">
    <w:p w14:paraId="6341ADBC" w14:textId="77777777" w:rsidR="0087541C" w:rsidRDefault="0087541C" w:rsidP="0087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940667"/>
      <w:docPartObj>
        <w:docPartGallery w:val="Page Numbers (Bottom of Page)"/>
        <w:docPartUnique/>
      </w:docPartObj>
    </w:sdtPr>
    <w:sdtEndPr>
      <w:rPr>
        <w:noProof/>
      </w:rPr>
    </w:sdtEndPr>
    <w:sdtContent>
      <w:p w14:paraId="2E792F98" w14:textId="7DED7C34" w:rsidR="0087541C" w:rsidRDefault="008754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2F4A4" w14:textId="77777777" w:rsidR="0087541C" w:rsidRDefault="00875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18E8F" w14:textId="77777777" w:rsidR="0087541C" w:rsidRDefault="0087541C" w:rsidP="0087541C">
      <w:r>
        <w:separator/>
      </w:r>
    </w:p>
  </w:footnote>
  <w:footnote w:type="continuationSeparator" w:id="0">
    <w:p w14:paraId="50B186A5" w14:textId="77777777" w:rsidR="0087541C" w:rsidRDefault="0087541C" w:rsidP="00875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753"/>
    <w:multiLevelType w:val="hybridMultilevel"/>
    <w:tmpl w:val="78968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92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D1"/>
    <w:rsid w:val="000824AF"/>
    <w:rsid w:val="003E4C92"/>
    <w:rsid w:val="00424F8B"/>
    <w:rsid w:val="004B03A6"/>
    <w:rsid w:val="004C60FA"/>
    <w:rsid w:val="0087541C"/>
    <w:rsid w:val="008D7D56"/>
    <w:rsid w:val="009230C7"/>
    <w:rsid w:val="00B42811"/>
    <w:rsid w:val="00D62ABD"/>
    <w:rsid w:val="00E864A0"/>
    <w:rsid w:val="00EB3BD1"/>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407B"/>
  <w15:chartTrackingRefBased/>
  <w15:docId w15:val="{A924CFC0-2D48-4B67-B8A1-F2515305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D1"/>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EB3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B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B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B3B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3B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3B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3B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3B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BD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B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3B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3B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3B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3B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3B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3B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BD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B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3B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3BD1"/>
    <w:rPr>
      <w:i/>
      <w:iCs/>
      <w:color w:val="404040" w:themeColor="text1" w:themeTint="BF"/>
    </w:rPr>
  </w:style>
  <w:style w:type="paragraph" w:styleId="ListParagraph">
    <w:name w:val="List Paragraph"/>
    <w:basedOn w:val="Normal"/>
    <w:uiPriority w:val="34"/>
    <w:qFormat/>
    <w:rsid w:val="00EB3BD1"/>
    <w:pPr>
      <w:ind w:left="720"/>
      <w:contextualSpacing/>
    </w:pPr>
  </w:style>
  <w:style w:type="character" w:styleId="IntenseEmphasis">
    <w:name w:val="Intense Emphasis"/>
    <w:basedOn w:val="DefaultParagraphFont"/>
    <w:uiPriority w:val="21"/>
    <w:qFormat/>
    <w:rsid w:val="00EB3BD1"/>
    <w:rPr>
      <w:i/>
      <w:iCs/>
      <w:color w:val="0F4761" w:themeColor="accent1" w:themeShade="BF"/>
    </w:rPr>
  </w:style>
  <w:style w:type="paragraph" w:styleId="IntenseQuote">
    <w:name w:val="Intense Quote"/>
    <w:basedOn w:val="Normal"/>
    <w:next w:val="Normal"/>
    <w:link w:val="IntenseQuoteChar"/>
    <w:uiPriority w:val="30"/>
    <w:qFormat/>
    <w:rsid w:val="00EB3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BD1"/>
    <w:rPr>
      <w:i/>
      <w:iCs/>
      <w:color w:val="0F4761" w:themeColor="accent1" w:themeShade="BF"/>
    </w:rPr>
  </w:style>
  <w:style w:type="character" w:styleId="IntenseReference">
    <w:name w:val="Intense Reference"/>
    <w:basedOn w:val="DefaultParagraphFont"/>
    <w:uiPriority w:val="32"/>
    <w:qFormat/>
    <w:rsid w:val="00EB3BD1"/>
    <w:rPr>
      <w:b/>
      <w:bCs/>
      <w:smallCaps/>
      <w:color w:val="0F4761" w:themeColor="accent1" w:themeShade="BF"/>
      <w:spacing w:val="5"/>
    </w:rPr>
  </w:style>
  <w:style w:type="paragraph" w:customStyle="1" w:styleId="Default">
    <w:name w:val="Default"/>
    <w:rsid w:val="00EB3BD1"/>
    <w:pPr>
      <w:autoSpaceDE w:val="0"/>
      <w:autoSpaceDN w:val="0"/>
      <w:adjustRightInd w:val="0"/>
    </w:pPr>
    <w:rPr>
      <w:rFonts w:ascii="Calibri" w:hAnsi="Calibri" w:cs="Calibri"/>
      <w:color w:val="000000"/>
      <w:kern w:val="0"/>
      <w14:ligatures w14:val="none"/>
    </w:rPr>
  </w:style>
  <w:style w:type="paragraph" w:styleId="Header">
    <w:name w:val="header"/>
    <w:basedOn w:val="Normal"/>
    <w:link w:val="HeaderChar"/>
    <w:uiPriority w:val="99"/>
    <w:unhideWhenUsed/>
    <w:rsid w:val="0087541C"/>
    <w:pPr>
      <w:tabs>
        <w:tab w:val="center" w:pos="4680"/>
        <w:tab w:val="right" w:pos="9360"/>
      </w:tabs>
    </w:pPr>
  </w:style>
  <w:style w:type="character" w:customStyle="1" w:styleId="HeaderChar">
    <w:name w:val="Header Char"/>
    <w:basedOn w:val="DefaultParagraphFont"/>
    <w:link w:val="Header"/>
    <w:uiPriority w:val="99"/>
    <w:rsid w:val="0087541C"/>
    <w:rPr>
      <w:rFonts w:ascii="CG Omega" w:eastAsia="Times New Roman" w:hAnsi="CG Omega" w:cs="Times New Roman"/>
      <w:kern w:val="0"/>
      <w:sz w:val="20"/>
      <w14:ligatures w14:val="none"/>
    </w:rPr>
  </w:style>
  <w:style w:type="paragraph" w:styleId="Footer">
    <w:name w:val="footer"/>
    <w:basedOn w:val="Normal"/>
    <w:link w:val="FooterChar"/>
    <w:uiPriority w:val="99"/>
    <w:unhideWhenUsed/>
    <w:rsid w:val="0087541C"/>
    <w:pPr>
      <w:tabs>
        <w:tab w:val="center" w:pos="4680"/>
        <w:tab w:val="right" w:pos="9360"/>
      </w:tabs>
    </w:pPr>
  </w:style>
  <w:style w:type="character" w:customStyle="1" w:styleId="FooterChar">
    <w:name w:val="Footer Char"/>
    <w:basedOn w:val="DefaultParagraphFont"/>
    <w:link w:val="Footer"/>
    <w:uiPriority w:val="99"/>
    <w:rsid w:val="0087541C"/>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Company>ITSS</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2025-08-25T13:57:00Z</dcterms:created>
  <dcterms:modified xsi:type="dcterms:W3CDTF">2025-08-25T16:42:00Z</dcterms:modified>
</cp:coreProperties>
</file>