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0A24" w14:textId="77777777" w:rsidR="0028321D" w:rsidRPr="00742BC1" w:rsidRDefault="0028321D" w:rsidP="0028321D">
      <w:pPr>
        <w:pStyle w:val="Default"/>
        <w:spacing w:line="276" w:lineRule="auto"/>
        <w:ind w:left="720"/>
        <w:jc w:val="center"/>
        <w:rPr>
          <w:rFonts w:ascii="Times New Roman" w:hAnsi="Times New Roman" w:cs="Times New Roman"/>
          <w:b/>
          <w:bCs/>
          <w:sz w:val="22"/>
          <w:szCs w:val="22"/>
        </w:rPr>
      </w:pPr>
      <w:bookmarkStart w:id="0" w:name="_Hlk200976284"/>
      <w:r w:rsidRPr="00742BC1">
        <w:rPr>
          <w:rFonts w:ascii="Times New Roman" w:hAnsi="Times New Roman" w:cs="Times New Roman"/>
          <w:b/>
          <w:bCs/>
          <w:sz w:val="22"/>
          <w:szCs w:val="22"/>
        </w:rPr>
        <w:t>C.    CHILD SUPPORT</w:t>
      </w:r>
    </w:p>
    <w:p w14:paraId="2B0DEF3B" w14:textId="77777777" w:rsidR="0028321D" w:rsidRPr="0063024F" w:rsidRDefault="0028321D" w:rsidP="0028321D">
      <w:pPr>
        <w:pStyle w:val="PRACTICETITLE"/>
        <w:spacing w:line="276" w:lineRule="auto"/>
        <w:rPr>
          <w:sz w:val="22"/>
          <w:szCs w:val="22"/>
          <w:lang w:val="en-US"/>
        </w:rPr>
      </w:pPr>
    </w:p>
    <w:bookmarkEnd w:id="0"/>
    <w:p w14:paraId="509F7057" w14:textId="77777777" w:rsidR="0028321D" w:rsidRPr="00886BC7" w:rsidRDefault="0028321D" w:rsidP="0028321D">
      <w:pPr>
        <w:pStyle w:val="ListParagraph"/>
        <w:numPr>
          <w:ilvl w:val="0"/>
          <w:numId w:val="2"/>
        </w:numPr>
        <w:spacing w:line="276" w:lineRule="auto"/>
        <w:rPr>
          <w:rFonts w:ascii="Times New Roman" w:hAnsi="Times New Roman"/>
          <w:sz w:val="22"/>
          <w:szCs w:val="22"/>
          <w:u w:val="single"/>
        </w:rPr>
      </w:pPr>
      <w:r w:rsidRPr="00886BC7">
        <w:rPr>
          <w:rFonts w:ascii="Times New Roman" w:hAnsi="Times New Roman"/>
          <w:sz w:val="22"/>
          <w:szCs w:val="22"/>
          <w:u w:val="single"/>
        </w:rPr>
        <w:t>General</w:t>
      </w:r>
    </w:p>
    <w:p w14:paraId="0FA5A581" w14:textId="77777777" w:rsidR="0028321D" w:rsidRPr="00886BC7" w:rsidRDefault="0028321D" w:rsidP="0028321D">
      <w:pPr>
        <w:pStyle w:val="ListParagraph"/>
        <w:spacing w:line="276" w:lineRule="auto"/>
        <w:rPr>
          <w:rFonts w:ascii="Times New Roman" w:hAnsi="Times New Roman"/>
          <w:sz w:val="22"/>
          <w:szCs w:val="22"/>
          <w:u w:val="single"/>
        </w:rPr>
      </w:pPr>
    </w:p>
    <w:p w14:paraId="60CB0EEB" w14:textId="77777777" w:rsidR="0028321D" w:rsidRPr="00906A20" w:rsidRDefault="0028321D" w:rsidP="0028321D">
      <w:pPr>
        <w:spacing w:line="276" w:lineRule="auto"/>
        <w:ind w:left="720"/>
        <w:rPr>
          <w:rFonts w:ascii="Times New Roman" w:hAnsi="Times New Roman"/>
          <w:sz w:val="22"/>
          <w:szCs w:val="22"/>
          <w:u w:val="single"/>
        </w:rPr>
      </w:pPr>
      <w:r>
        <w:rPr>
          <w:rFonts w:ascii="Times New Roman" w:hAnsi="Times New Roman"/>
          <w:sz w:val="22"/>
          <w:szCs w:val="22"/>
        </w:rPr>
        <w:t xml:space="preserve">The court requires fulsome financial documentation to address child support in a variety of settings: </w:t>
      </w:r>
      <w:r w:rsidRPr="00906A20">
        <w:rPr>
          <w:rFonts w:ascii="Times New Roman" w:hAnsi="Times New Roman"/>
          <w:sz w:val="22"/>
          <w:szCs w:val="22"/>
        </w:rPr>
        <w:t xml:space="preserve">motions and applications; trials; motions for judgment in uncontested matters; </w:t>
      </w:r>
      <w:proofErr w:type="gramStart"/>
      <w:r w:rsidRPr="00906A20">
        <w:rPr>
          <w:rFonts w:ascii="Times New Roman" w:hAnsi="Times New Roman"/>
          <w:sz w:val="22"/>
          <w:szCs w:val="22"/>
        </w:rPr>
        <w:t>and,</w:t>
      </w:r>
      <w:proofErr w:type="gramEnd"/>
      <w:r w:rsidRPr="00906A20">
        <w:rPr>
          <w:rFonts w:ascii="Times New Roman" w:hAnsi="Times New Roman"/>
          <w:sz w:val="22"/>
          <w:szCs w:val="22"/>
        </w:rPr>
        <w:t xml:space="preserve"> proposed consent orders presented to the court. </w:t>
      </w:r>
      <w:r>
        <w:rPr>
          <w:rFonts w:ascii="Times New Roman" w:hAnsi="Times New Roman"/>
          <w:sz w:val="22"/>
          <w:szCs w:val="22"/>
        </w:rPr>
        <w:t>A f</w:t>
      </w:r>
      <w:r w:rsidRPr="00906A20">
        <w:rPr>
          <w:rFonts w:ascii="Times New Roman" w:hAnsi="Times New Roman"/>
          <w:sz w:val="22"/>
          <w:szCs w:val="22"/>
        </w:rPr>
        <w:t xml:space="preserve">ailure to provide timely and fulsome financial disclosure may have adverse consequences, including costs. </w:t>
      </w:r>
    </w:p>
    <w:p w14:paraId="69082B07" w14:textId="77777777" w:rsidR="0028321D" w:rsidRPr="00886BC7" w:rsidRDefault="0028321D" w:rsidP="0028321D">
      <w:pPr>
        <w:pStyle w:val="ListParagraph"/>
        <w:spacing w:line="276" w:lineRule="auto"/>
        <w:rPr>
          <w:rFonts w:ascii="Times New Roman" w:hAnsi="Times New Roman"/>
          <w:sz w:val="22"/>
          <w:szCs w:val="22"/>
        </w:rPr>
      </w:pPr>
    </w:p>
    <w:p w14:paraId="7967ADB1" w14:textId="77777777" w:rsidR="0028321D" w:rsidRDefault="0028321D" w:rsidP="0028321D">
      <w:pPr>
        <w:pStyle w:val="ListParagraph"/>
        <w:spacing w:line="276" w:lineRule="auto"/>
        <w:rPr>
          <w:rFonts w:ascii="Times New Roman" w:hAnsi="Times New Roman"/>
          <w:sz w:val="22"/>
          <w:szCs w:val="22"/>
          <w:u w:val="single"/>
        </w:rPr>
      </w:pPr>
    </w:p>
    <w:p w14:paraId="197F4CB3" w14:textId="77777777" w:rsidR="0028321D" w:rsidRPr="00886BC7" w:rsidRDefault="0028321D" w:rsidP="0028321D">
      <w:pPr>
        <w:pStyle w:val="ListParagraph"/>
        <w:numPr>
          <w:ilvl w:val="0"/>
          <w:numId w:val="2"/>
        </w:numPr>
        <w:spacing w:line="276" w:lineRule="auto"/>
        <w:rPr>
          <w:rFonts w:ascii="Times New Roman" w:hAnsi="Times New Roman"/>
          <w:sz w:val="22"/>
          <w:szCs w:val="22"/>
          <w:u w:val="single"/>
        </w:rPr>
      </w:pPr>
      <w:r w:rsidRPr="00886BC7">
        <w:rPr>
          <w:rFonts w:ascii="Times New Roman" w:hAnsi="Times New Roman"/>
          <w:sz w:val="22"/>
          <w:szCs w:val="22"/>
          <w:u w:val="single"/>
        </w:rPr>
        <w:t>Child Support – Legislative Obligations</w:t>
      </w:r>
      <w:r>
        <w:rPr>
          <w:rFonts w:ascii="Times New Roman" w:hAnsi="Times New Roman"/>
          <w:sz w:val="22"/>
          <w:szCs w:val="22"/>
          <w:u w:val="single"/>
        </w:rPr>
        <w:t xml:space="preserve"> and Duration</w:t>
      </w:r>
    </w:p>
    <w:p w14:paraId="43AE29FF" w14:textId="77777777" w:rsidR="0028321D" w:rsidRPr="00886BC7" w:rsidRDefault="0028321D" w:rsidP="0028321D">
      <w:pPr>
        <w:spacing w:line="276" w:lineRule="auto"/>
        <w:rPr>
          <w:rFonts w:ascii="Times New Roman" w:hAnsi="Times New Roman"/>
          <w:sz w:val="22"/>
          <w:szCs w:val="22"/>
          <w:u w:val="single"/>
        </w:rPr>
      </w:pPr>
    </w:p>
    <w:p w14:paraId="0B8DF39B" w14:textId="77777777" w:rsidR="0028321D"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A parent’s obligation to provide adequate financial support for a child is addressed in the legislative regime and the governing case law. In making a child support order, the court does so in accordance with the </w:t>
      </w:r>
      <w:r w:rsidRPr="005F6E7D">
        <w:rPr>
          <w:rFonts w:ascii="Times New Roman" w:hAnsi="Times New Roman"/>
          <w:i/>
          <w:iCs/>
          <w:sz w:val="22"/>
          <w:szCs w:val="22"/>
        </w:rPr>
        <w:t>Federal Child Support Guidelines</w:t>
      </w:r>
      <w:r>
        <w:rPr>
          <w:rFonts w:ascii="Times New Roman" w:hAnsi="Times New Roman"/>
          <w:sz w:val="22"/>
          <w:szCs w:val="22"/>
        </w:rPr>
        <w:t xml:space="preserve"> </w:t>
      </w:r>
      <w:r w:rsidRPr="00886BC7">
        <w:rPr>
          <w:rFonts w:ascii="Times New Roman" w:hAnsi="Times New Roman"/>
          <w:sz w:val="22"/>
          <w:szCs w:val="22"/>
        </w:rPr>
        <w:t>SOR/97-175</w:t>
      </w:r>
      <w:r>
        <w:rPr>
          <w:rFonts w:ascii="Times New Roman" w:hAnsi="Times New Roman"/>
          <w:sz w:val="22"/>
          <w:szCs w:val="22"/>
        </w:rPr>
        <w:t>, including the Tables (“</w:t>
      </w:r>
      <w:r w:rsidRPr="002E34D3">
        <w:rPr>
          <w:rFonts w:ascii="Times New Roman" w:hAnsi="Times New Roman"/>
          <w:i/>
          <w:iCs/>
          <w:sz w:val="22"/>
          <w:szCs w:val="22"/>
        </w:rPr>
        <w:t>Guidelines</w:t>
      </w:r>
      <w:r>
        <w:rPr>
          <w:rFonts w:ascii="Times New Roman" w:hAnsi="Times New Roman"/>
          <w:sz w:val="22"/>
          <w:szCs w:val="22"/>
        </w:rPr>
        <w:t>”).</w:t>
      </w:r>
    </w:p>
    <w:p w14:paraId="5FC73E39" w14:textId="77777777" w:rsidR="0028321D" w:rsidRDefault="0028321D" w:rsidP="0028321D">
      <w:pPr>
        <w:pStyle w:val="ListParagraph"/>
        <w:widowControl/>
        <w:autoSpaceDE/>
        <w:autoSpaceDN/>
        <w:adjustRightInd/>
        <w:spacing w:after="160" w:line="276" w:lineRule="auto"/>
        <w:ind w:left="1440"/>
        <w:rPr>
          <w:rFonts w:ascii="Times New Roman" w:hAnsi="Times New Roman"/>
          <w:sz w:val="22"/>
          <w:szCs w:val="22"/>
        </w:rPr>
      </w:pPr>
    </w:p>
    <w:p w14:paraId="79AB0465" w14:textId="77777777" w:rsidR="0028321D"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The court has an obligation to ensure that parent</w:t>
      </w:r>
      <w:r>
        <w:rPr>
          <w:rFonts w:ascii="Times New Roman" w:hAnsi="Times New Roman"/>
          <w:sz w:val="22"/>
          <w:szCs w:val="22"/>
        </w:rPr>
        <w:t>s</w:t>
      </w:r>
      <w:r w:rsidRPr="00886BC7">
        <w:rPr>
          <w:rFonts w:ascii="Times New Roman" w:hAnsi="Times New Roman"/>
          <w:sz w:val="22"/>
          <w:szCs w:val="22"/>
        </w:rPr>
        <w:t xml:space="preserve"> provide adequate financial support for </w:t>
      </w:r>
      <w:r>
        <w:rPr>
          <w:rFonts w:ascii="Times New Roman" w:hAnsi="Times New Roman"/>
          <w:sz w:val="22"/>
          <w:szCs w:val="22"/>
        </w:rPr>
        <w:t>a</w:t>
      </w:r>
      <w:r w:rsidRPr="00886BC7">
        <w:rPr>
          <w:rFonts w:ascii="Times New Roman" w:hAnsi="Times New Roman"/>
          <w:sz w:val="22"/>
          <w:szCs w:val="22"/>
        </w:rPr>
        <w:t xml:space="preserve"> child.  This obligation is addressed in both the </w:t>
      </w:r>
      <w:r w:rsidRPr="00886BC7">
        <w:rPr>
          <w:rFonts w:ascii="Times New Roman" w:hAnsi="Times New Roman"/>
          <w:i/>
          <w:iCs/>
          <w:sz w:val="22"/>
          <w:szCs w:val="22"/>
        </w:rPr>
        <w:t>Children’s Law Act</w:t>
      </w:r>
      <w:r w:rsidRPr="00886BC7">
        <w:rPr>
          <w:rFonts w:ascii="Times New Roman" w:hAnsi="Times New Roman"/>
          <w:sz w:val="22"/>
          <w:szCs w:val="22"/>
        </w:rPr>
        <w:t xml:space="preserve">, RSPEI 1988 Cap. C-6.1 and the </w:t>
      </w:r>
      <w:r w:rsidRPr="00886BC7">
        <w:rPr>
          <w:rFonts w:ascii="Times New Roman" w:hAnsi="Times New Roman"/>
          <w:i/>
          <w:iCs/>
          <w:sz w:val="22"/>
          <w:szCs w:val="22"/>
        </w:rPr>
        <w:t>Divorce Act</w:t>
      </w:r>
      <w:r w:rsidRPr="00886BC7">
        <w:rPr>
          <w:rFonts w:ascii="Times New Roman" w:hAnsi="Times New Roman"/>
          <w:sz w:val="22"/>
          <w:szCs w:val="22"/>
        </w:rPr>
        <w:t>, RSC 1985</w:t>
      </w:r>
      <w:r>
        <w:rPr>
          <w:rFonts w:ascii="Times New Roman" w:hAnsi="Times New Roman"/>
          <w:sz w:val="22"/>
          <w:szCs w:val="22"/>
        </w:rPr>
        <w:t>,</w:t>
      </w:r>
      <w:r w:rsidRPr="00886BC7">
        <w:rPr>
          <w:rFonts w:ascii="Times New Roman" w:hAnsi="Times New Roman"/>
          <w:sz w:val="22"/>
          <w:szCs w:val="22"/>
        </w:rPr>
        <w:t xml:space="preserve"> </w:t>
      </w:r>
      <w:r>
        <w:rPr>
          <w:rFonts w:ascii="Times New Roman" w:hAnsi="Times New Roman"/>
          <w:sz w:val="22"/>
          <w:szCs w:val="22"/>
        </w:rPr>
        <w:t>Cap</w:t>
      </w:r>
      <w:r w:rsidRPr="00886BC7">
        <w:rPr>
          <w:rFonts w:ascii="Times New Roman" w:hAnsi="Times New Roman"/>
          <w:sz w:val="22"/>
          <w:szCs w:val="22"/>
        </w:rPr>
        <w:t xml:space="preserve">. 3.  This obligation exists independently of the wishes of a party.  For example, the court may decline to endorse a proposed consent order which does not adequately address financial </w:t>
      </w:r>
      <w:r>
        <w:rPr>
          <w:rFonts w:ascii="Times New Roman" w:hAnsi="Times New Roman"/>
          <w:sz w:val="22"/>
          <w:szCs w:val="22"/>
        </w:rPr>
        <w:t>support</w:t>
      </w:r>
      <w:r w:rsidRPr="00886BC7">
        <w:rPr>
          <w:rFonts w:ascii="Times New Roman" w:hAnsi="Times New Roman"/>
          <w:sz w:val="22"/>
          <w:szCs w:val="22"/>
        </w:rPr>
        <w:t xml:space="preserve"> for a child. </w:t>
      </w:r>
    </w:p>
    <w:p w14:paraId="30D481EA" w14:textId="77777777" w:rsidR="0028321D" w:rsidRPr="00C64093" w:rsidRDefault="0028321D" w:rsidP="0028321D">
      <w:pPr>
        <w:pStyle w:val="ListParagraph"/>
        <w:rPr>
          <w:rFonts w:ascii="Times New Roman" w:hAnsi="Times New Roman"/>
          <w:sz w:val="22"/>
          <w:szCs w:val="22"/>
        </w:rPr>
      </w:pPr>
    </w:p>
    <w:p w14:paraId="6388C526" w14:textId="77777777" w:rsidR="0028321D"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Lawyers and parents are reminded of the legislative regime which addresses the duration of a parent’s obligation to provide financial support for a child, including the definition of “child of the marriage” in s. 2(1) of </w:t>
      </w:r>
      <w:r w:rsidRPr="00886BC7">
        <w:rPr>
          <w:rFonts w:ascii="Times New Roman" w:hAnsi="Times New Roman"/>
          <w:sz w:val="22"/>
          <w:szCs w:val="22"/>
        </w:rPr>
        <w:t xml:space="preserve">the </w:t>
      </w:r>
      <w:r w:rsidRPr="00886BC7">
        <w:rPr>
          <w:rFonts w:ascii="Times New Roman" w:hAnsi="Times New Roman"/>
          <w:i/>
          <w:iCs/>
          <w:sz w:val="22"/>
          <w:szCs w:val="22"/>
        </w:rPr>
        <w:t>Divorce Act</w:t>
      </w:r>
      <w:r>
        <w:rPr>
          <w:rFonts w:ascii="Times New Roman" w:hAnsi="Times New Roman"/>
          <w:sz w:val="22"/>
          <w:szCs w:val="22"/>
        </w:rPr>
        <w:t xml:space="preserve">, and the age and circumstances of the child addressed in s. </w:t>
      </w:r>
      <w:r w:rsidRPr="003D0C98">
        <w:rPr>
          <w:rFonts w:ascii="Times New Roman" w:hAnsi="Times New Roman"/>
          <w:sz w:val="22"/>
          <w:szCs w:val="22"/>
        </w:rPr>
        <w:t xml:space="preserve">58(2) </w:t>
      </w:r>
      <w:r>
        <w:rPr>
          <w:rFonts w:ascii="Times New Roman" w:hAnsi="Times New Roman"/>
          <w:sz w:val="22"/>
          <w:szCs w:val="22"/>
        </w:rPr>
        <w:t xml:space="preserve">of the </w:t>
      </w:r>
      <w:r w:rsidRPr="00886BC7">
        <w:rPr>
          <w:rFonts w:ascii="Times New Roman" w:hAnsi="Times New Roman"/>
          <w:i/>
          <w:iCs/>
          <w:sz w:val="22"/>
          <w:szCs w:val="22"/>
        </w:rPr>
        <w:t>Children’s Law Act</w:t>
      </w:r>
      <w:r>
        <w:rPr>
          <w:rFonts w:ascii="Times New Roman" w:hAnsi="Times New Roman"/>
          <w:sz w:val="22"/>
          <w:szCs w:val="22"/>
        </w:rPr>
        <w:t xml:space="preserve">.  </w:t>
      </w:r>
    </w:p>
    <w:p w14:paraId="1100262A" w14:textId="77777777" w:rsidR="0028321D" w:rsidRPr="00886BC7" w:rsidRDefault="0028321D" w:rsidP="0028321D">
      <w:pPr>
        <w:pStyle w:val="ListParagraph"/>
        <w:spacing w:line="276" w:lineRule="auto"/>
        <w:rPr>
          <w:rFonts w:ascii="Times New Roman" w:hAnsi="Times New Roman"/>
          <w:sz w:val="22"/>
          <w:szCs w:val="22"/>
        </w:rPr>
      </w:pPr>
    </w:p>
    <w:p w14:paraId="4DC4C730" w14:textId="77777777" w:rsidR="0028321D" w:rsidRDefault="0028321D" w:rsidP="0028321D">
      <w:pPr>
        <w:pStyle w:val="ListParagraph"/>
        <w:spacing w:after="200" w:line="276" w:lineRule="auto"/>
        <w:rPr>
          <w:rFonts w:ascii="Times New Roman" w:hAnsi="Times New Roman"/>
          <w:sz w:val="22"/>
          <w:szCs w:val="22"/>
          <w:u w:val="single"/>
        </w:rPr>
      </w:pPr>
    </w:p>
    <w:p w14:paraId="111A638B" w14:textId="77777777" w:rsidR="0028321D" w:rsidRPr="00CE4AFC" w:rsidRDefault="0028321D" w:rsidP="0028321D">
      <w:pPr>
        <w:pStyle w:val="ListParagraph"/>
        <w:numPr>
          <w:ilvl w:val="0"/>
          <w:numId w:val="2"/>
        </w:numPr>
        <w:spacing w:after="200" w:line="276" w:lineRule="auto"/>
        <w:rPr>
          <w:rFonts w:ascii="Times New Roman" w:hAnsi="Times New Roman"/>
          <w:sz w:val="22"/>
          <w:szCs w:val="22"/>
          <w:u w:val="single"/>
        </w:rPr>
      </w:pPr>
      <w:r w:rsidRPr="00CE4AFC">
        <w:rPr>
          <w:rFonts w:ascii="Times New Roman" w:hAnsi="Times New Roman"/>
          <w:sz w:val="22"/>
          <w:szCs w:val="22"/>
          <w:u w:val="single"/>
        </w:rPr>
        <w:t xml:space="preserve">Self-employed </w:t>
      </w:r>
      <w:r>
        <w:rPr>
          <w:rFonts w:ascii="Times New Roman" w:hAnsi="Times New Roman"/>
          <w:sz w:val="22"/>
          <w:szCs w:val="22"/>
          <w:u w:val="single"/>
        </w:rPr>
        <w:t>I</w:t>
      </w:r>
      <w:r w:rsidRPr="00CE4AFC">
        <w:rPr>
          <w:rFonts w:ascii="Times New Roman" w:hAnsi="Times New Roman"/>
          <w:sz w:val="22"/>
          <w:szCs w:val="22"/>
          <w:u w:val="single"/>
        </w:rPr>
        <w:t xml:space="preserve">ncome and </w:t>
      </w:r>
      <w:r>
        <w:rPr>
          <w:rFonts w:ascii="Times New Roman" w:hAnsi="Times New Roman"/>
          <w:sz w:val="22"/>
          <w:szCs w:val="22"/>
          <w:u w:val="single"/>
        </w:rPr>
        <w:t>P</w:t>
      </w:r>
      <w:r w:rsidRPr="00CE4AFC">
        <w:rPr>
          <w:rFonts w:ascii="Times New Roman" w:hAnsi="Times New Roman"/>
          <w:sz w:val="22"/>
          <w:szCs w:val="22"/>
          <w:u w:val="single"/>
        </w:rPr>
        <w:t xml:space="preserve">artnership </w:t>
      </w:r>
      <w:r>
        <w:rPr>
          <w:rFonts w:ascii="Times New Roman" w:hAnsi="Times New Roman"/>
          <w:sz w:val="22"/>
          <w:szCs w:val="22"/>
          <w:u w:val="single"/>
        </w:rPr>
        <w:t>I</w:t>
      </w:r>
      <w:r w:rsidRPr="00CE4AFC">
        <w:rPr>
          <w:rFonts w:ascii="Times New Roman" w:hAnsi="Times New Roman"/>
          <w:sz w:val="22"/>
          <w:szCs w:val="22"/>
          <w:u w:val="single"/>
        </w:rPr>
        <w:t>ncome</w:t>
      </w:r>
    </w:p>
    <w:p w14:paraId="3C697C93" w14:textId="77777777" w:rsidR="0028321D" w:rsidRPr="00CE4AFC" w:rsidRDefault="0028321D" w:rsidP="0028321D">
      <w:pPr>
        <w:pStyle w:val="ListParagraph"/>
        <w:spacing w:after="200" w:line="276" w:lineRule="auto"/>
        <w:rPr>
          <w:rFonts w:ascii="Times New Roman" w:hAnsi="Times New Roman"/>
          <w:sz w:val="22"/>
          <w:szCs w:val="22"/>
        </w:rPr>
      </w:pPr>
    </w:p>
    <w:p w14:paraId="35DCEC45" w14:textId="77777777" w:rsidR="0028321D" w:rsidRPr="00CE4AFC" w:rsidRDefault="0028321D" w:rsidP="0028321D">
      <w:pPr>
        <w:pStyle w:val="ListParagraph"/>
        <w:spacing w:after="200" w:line="276" w:lineRule="auto"/>
        <w:rPr>
          <w:rFonts w:ascii="Times New Roman" w:hAnsi="Times New Roman"/>
          <w:sz w:val="22"/>
          <w:szCs w:val="22"/>
        </w:rPr>
      </w:pPr>
      <w:r w:rsidRPr="00CE4AFC">
        <w:rPr>
          <w:rFonts w:ascii="Times New Roman" w:hAnsi="Times New Roman"/>
          <w:sz w:val="22"/>
          <w:szCs w:val="22"/>
        </w:rPr>
        <w:t xml:space="preserve">Lawyers and self-represented parties are reminded of the financial and income disclosure obligations set out in s. 21 of the </w:t>
      </w:r>
      <w:r w:rsidRPr="00CE4AFC">
        <w:rPr>
          <w:rFonts w:ascii="Times New Roman" w:hAnsi="Times New Roman"/>
          <w:i/>
          <w:iCs/>
          <w:sz w:val="22"/>
          <w:szCs w:val="22"/>
        </w:rPr>
        <w:t>Guidelines</w:t>
      </w:r>
      <w:r w:rsidRPr="00CE4AFC">
        <w:rPr>
          <w:rFonts w:ascii="Times New Roman" w:hAnsi="Times New Roman"/>
          <w:sz w:val="22"/>
          <w:szCs w:val="22"/>
        </w:rPr>
        <w:t xml:space="preserve">, where a party is self-employed, is a partner in a partnership, or controls a corporation. </w:t>
      </w:r>
    </w:p>
    <w:p w14:paraId="7760D6E0" w14:textId="77777777" w:rsidR="0028321D" w:rsidRPr="00CE4AFC" w:rsidRDefault="0028321D" w:rsidP="0028321D">
      <w:pPr>
        <w:pStyle w:val="ListParagraph"/>
        <w:spacing w:line="276" w:lineRule="auto"/>
        <w:rPr>
          <w:rFonts w:ascii="Times New Roman" w:hAnsi="Times New Roman"/>
          <w:sz w:val="22"/>
          <w:szCs w:val="22"/>
          <w:u w:val="single"/>
        </w:rPr>
      </w:pPr>
    </w:p>
    <w:p w14:paraId="592037F9" w14:textId="77777777" w:rsidR="0028321D" w:rsidRDefault="0028321D" w:rsidP="0028321D">
      <w:pPr>
        <w:pStyle w:val="ListParagraph"/>
        <w:spacing w:line="276" w:lineRule="auto"/>
        <w:rPr>
          <w:rFonts w:ascii="Times New Roman" w:hAnsi="Times New Roman"/>
          <w:sz w:val="22"/>
          <w:szCs w:val="22"/>
          <w:u w:val="single"/>
        </w:rPr>
      </w:pPr>
    </w:p>
    <w:p w14:paraId="44103B2D" w14:textId="77777777" w:rsidR="0028321D" w:rsidRPr="00CE4AFC" w:rsidRDefault="0028321D" w:rsidP="0028321D">
      <w:pPr>
        <w:pStyle w:val="ListParagraph"/>
        <w:numPr>
          <w:ilvl w:val="0"/>
          <w:numId w:val="2"/>
        </w:numPr>
        <w:spacing w:line="276" w:lineRule="auto"/>
        <w:rPr>
          <w:rFonts w:ascii="Times New Roman" w:hAnsi="Times New Roman"/>
          <w:sz w:val="22"/>
          <w:szCs w:val="22"/>
          <w:u w:val="single"/>
        </w:rPr>
      </w:pPr>
      <w:r w:rsidRPr="00CE4AFC">
        <w:rPr>
          <w:rFonts w:ascii="Times New Roman" w:hAnsi="Times New Roman"/>
          <w:sz w:val="22"/>
          <w:szCs w:val="22"/>
          <w:u w:val="single"/>
        </w:rPr>
        <w:t>Off-Table Child Support</w:t>
      </w:r>
    </w:p>
    <w:p w14:paraId="3DBB0085" w14:textId="77777777" w:rsidR="0028321D" w:rsidRPr="00886BC7" w:rsidRDefault="0028321D" w:rsidP="0028321D">
      <w:pPr>
        <w:pStyle w:val="ListParagraph"/>
        <w:spacing w:line="276" w:lineRule="auto"/>
        <w:rPr>
          <w:rFonts w:ascii="Times New Roman" w:hAnsi="Times New Roman"/>
          <w:sz w:val="22"/>
          <w:szCs w:val="22"/>
          <w:u w:val="single"/>
        </w:rPr>
      </w:pPr>
    </w:p>
    <w:p w14:paraId="4A0FB99E" w14:textId="77777777" w:rsidR="0028321D" w:rsidRDefault="0028321D" w:rsidP="0028321D">
      <w:pPr>
        <w:pStyle w:val="ListParagraph"/>
        <w:numPr>
          <w:ilvl w:val="1"/>
          <w:numId w:val="2"/>
        </w:numPr>
        <w:spacing w:line="276" w:lineRule="auto"/>
        <w:rPr>
          <w:rFonts w:ascii="Times New Roman" w:hAnsi="Times New Roman"/>
          <w:i/>
          <w:iCs/>
          <w:sz w:val="22"/>
          <w:szCs w:val="22"/>
        </w:rPr>
      </w:pPr>
      <w:r w:rsidRPr="004A58E4">
        <w:rPr>
          <w:rFonts w:ascii="Times New Roman" w:hAnsi="Times New Roman"/>
          <w:sz w:val="22"/>
          <w:szCs w:val="22"/>
        </w:rPr>
        <w:t xml:space="preserve">Generally, the court is obligated to order child support in accordance with </w:t>
      </w:r>
      <w:r>
        <w:rPr>
          <w:rFonts w:ascii="Times New Roman" w:hAnsi="Times New Roman"/>
          <w:sz w:val="22"/>
          <w:szCs w:val="22"/>
        </w:rPr>
        <w:t>T</w:t>
      </w:r>
      <w:r w:rsidRPr="004A58E4">
        <w:rPr>
          <w:rFonts w:ascii="Times New Roman" w:hAnsi="Times New Roman"/>
          <w:sz w:val="22"/>
          <w:szCs w:val="22"/>
        </w:rPr>
        <w:t xml:space="preserve">ables of the </w:t>
      </w:r>
      <w:r w:rsidRPr="004A58E4">
        <w:rPr>
          <w:rFonts w:ascii="Times New Roman" w:hAnsi="Times New Roman"/>
          <w:i/>
          <w:iCs/>
          <w:sz w:val="22"/>
          <w:szCs w:val="22"/>
        </w:rPr>
        <w:t>Guidelines</w:t>
      </w:r>
      <w:r w:rsidRPr="004A58E4">
        <w:rPr>
          <w:rFonts w:ascii="Times New Roman" w:hAnsi="Times New Roman"/>
          <w:sz w:val="22"/>
          <w:szCs w:val="22"/>
        </w:rPr>
        <w:t xml:space="preserve">. In certain circumstances, the court may order child support that is different from the amount in the </w:t>
      </w:r>
      <w:r>
        <w:rPr>
          <w:rFonts w:ascii="Times New Roman" w:hAnsi="Times New Roman"/>
          <w:sz w:val="22"/>
          <w:szCs w:val="22"/>
        </w:rPr>
        <w:t>T</w:t>
      </w:r>
      <w:r w:rsidRPr="004A58E4">
        <w:rPr>
          <w:rFonts w:ascii="Times New Roman" w:hAnsi="Times New Roman"/>
          <w:sz w:val="22"/>
          <w:szCs w:val="22"/>
        </w:rPr>
        <w:t>ables. For example, the court may order an off-</w:t>
      </w:r>
      <w:r>
        <w:rPr>
          <w:rFonts w:ascii="Times New Roman" w:hAnsi="Times New Roman"/>
          <w:sz w:val="22"/>
          <w:szCs w:val="22"/>
        </w:rPr>
        <w:t>T</w:t>
      </w:r>
      <w:r w:rsidRPr="004A58E4">
        <w:rPr>
          <w:rFonts w:ascii="Times New Roman" w:hAnsi="Times New Roman"/>
          <w:sz w:val="22"/>
          <w:szCs w:val="22"/>
        </w:rPr>
        <w:t xml:space="preserve">able amount where undue hardship has been established in accordance with the </w:t>
      </w:r>
      <w:r w:rsidRPr="004A58E4">
        <w:rPr>
          <w:rFonts w:ascii="Times New Roman" w:hAnsi="Times New Roman"/>
          <w:i/>
          <w:iCs/>
          <w:sz w:val="22"/>
          <w:szCs w:val="22"/>
        </w:rPr>
        <w:t xml:space="preserve">Guidelines. </w:t>
      </w:r>
    </w:p>
    <w:p w14:paraId="5850D14B" w14:textId="77777777" w:rsidR="0028321D" w:rsidRDefault="0028321D" w:rsidP="0028321D">
      <w:pPr>
        <w:pStyle w:val="ListParagraph"/>
        <w:spacing w:line="276" w:lineRule="auto"/>
        <w:ind w:left="1440"/>
        <w:rPr>
          <w:rFonts w:ascii="Times New Roman" w:hAnsi="Times New Roman"/>
          <w:i/>
          <w:iCs/>
          <w:sz w:val="22"/>
          <w:szCs w:val="22"/>
        </w:rPr>
      </w:pPr>
    </w:p>
    <w:p w14:paraId="2F79FD7E" w14:textId="77777777" w:rsidR="0028321D" w:rsidRDefault="0028321D" w:rsidP="0028321D">
      <w:pPr>
        <w:pStyle w:val="ListParagraph"/>
        <w:spacing w:line="276" w:lineRule="auto"/>
        <w:ind w:left="1440"/>
        <w:rPr>
          <w:rFonts w:ascii="Times New Roman" w:hAnsi="Times New Roman"/>
          <w:i/>
          <w:iCs/>
          <w:sz w:val="22"/>
          <w:szCs w:val="22"/>
        </w:rPr>
      </w:pPr>
    </w:p>
    <w:p w14:paraId="75FE9D0B" w14:textId="77777777" w:rsidR="0028321D" w:rsidRPr="00886BC7" w:rsidRDefault="0028321D" w:rsidP="0028321D">
      <w:pPr>
        <w:pStyle w:val="ListParagraph"/>
        <w:numPr>
          <w:ilvl w:val="1"/>
          <w:numId w:val="2"/>
        </w:numPr>
        <w:spacing w:line="276" w:lineRule="auto"/>
        <w:rPr>
          <w:rFonts w:ascii="Times New Roman" w:hAnsi="Times New Roman"/>
          <w:i/>
          <w:iCs/>
          <w:sz w:val="22"/>
          <w:szCs w:val="22"/>
        </w:rPr>
      </w:pPr>
      <w:r w:rsidRPr="004A58E4">
        <w:rPr>
          <w:rFonts w:ascii="Times New Roman" w:hAnsi="Times New Roman"/>
          <w:sz w:val="22"/>
          <w:szCs w:val="22"/>
        </w:rPr>
        <w:lastRenderedPageBreak/>
        <w:t>The court may also order an off-</w:t>
      </w:r>
      <w:r>
        <w:rPr>
          <w:rFonts w:ascii="Times New Roman" w:hAnsi="Times New Roman"/>
          <w:sz w:val="22"/>
          <w:szCs w:val="22"/>
        </w:rPr>
        <w:t>T</w:t>
      </w:r>
      <w:r w:rsidRPr="004A58E4">
        <w:rPr>
          <w:rFonts w:ascii="Times New Roman" w:hAnsi="Times New Roman"/>
          <w:sz w:val="22"/>
          <w:szCs w:val="22"/>
        </w:rPr>
        <w:t>able amount upon the consent of both spouses, provided the court is satisfied that reasonable arrangements have been made for the support of the child (see, for example, s</w:t>
      </w:r>
      <w:r>
        <w:rPr>
          <w:rFonts w:ascii="Times New Roman" w:hAnsi="Times New Roman"/>
          <w:sz w:val="22"/>
          <w:szCs w:val="22"/>
        </w:rPr>
        <w:t>.</w:t>
      </w:r>
      <w:r w:rsidRPr="004A58E4">
        <w:rPr>
          <w:rFonts w:ascii="Times New Roman" w:hAnsi="Times New Roman"/>
          <w:sz w:val="22"/>
          <w:szCs w:val="22"/>
        </w:rPr>
        <w:t xml:space="preserve"> 15</w:t>
      </w:r>
      <w:r>
        <w:rPr>
          <w:rFonts w:ascii="Times New Roman" w:hAnsi="Times New Roman"/>
          <w:sz w:val="22"/>
          <w:szCs w:val="22"/>
        </w:rPr>
        <w:t>.</w:t>
      </w:r>
      <w:r w:rsidRPr="004A58E4">
        <w:rPr>
          <w:rFonts w:ascii="Times New Roman" w:hAnsi="Times New Roman"/>
          <w:sz w:val="22"/>
          <w:szCs w:val="22"/>
        </w:rPr>
        <w:t>1</w:t>
      </w:r>
      <w:r>
        <w:rPr>
          <w:rFonts w:ascii="Times New Roman" w:hAnsi="Times New Roman"/>
          <w:sz w:val="22"/>
          <w:szCs w:val="22"/>
        </w:rPr>
        <w:t xml:space="preserve"> (7</w:t>
      </w:r>
      <w:r w:rsidRPr="004A58E4">
        <w:rPr>
          <w:rFonts w:ascii="Times New Roman" w:hAnsi="Times New Roman"/>
          <w:sz w:val="22"/>
          <w:szCs w:val="22"/>
        </w:rPr>
        <w:t xml:space="preserve">) of the </w:t>
      </w:r>
      <w:r w:rsidRPr="004A58E4">
        <w:rPr>
          <w:rFonts w:ascii="Times New Roman" w:hAnsi="Times New Roman"/>
          <w:i/>
          <w:iCs/>
          <w:sz w:val="22"/>
          <w:szCs w:val="22"/>
        </w:rPr>
        <w:t>Divorce Act</w:t>
      </w:r>
      <w:r>
        <w:rPr>
          <w:rFonts w:ascii="Times New Roman" w:hAnsi="Times New Roman"/>
          <w:i/>
          <w:iCs/>
          <w:sz w:val="22"/>
          <w:szCs w:val="22"/>
        </w:rPr>
        <w:t>).</w:t>
      </w:r>
      <w:r w:rsidRPr="004A58E4">
        <w:rPr>
          <w:rFonts w:ascii="Times New Roman" w:hAnsi="Times New Roman"/>
          <w:sz w:val="22"/>
          <w:szCs w:val="22"/>
        </w:rPr>
        <w:t xml:space="preserve"> </w:t>
      </w:r>
    </w:p>
    <w:p w14:paraId="43DB99C5" w14:textId="77777777" w:rsidR="0028321D" w:rsidRDefault="0028321D" w:rsidP="0028321D">
      <w:pPr>
        <w:pStyle w:val="ListParagraph"/>
        <w:widowControl/>
        <w:autoSpaceDE/>
        <w:autoSpaceDN/>
        <w:adjustRightInd/>
        <w:spacing w:after="160" w:line="276" w:lineRule="auto"/>
        <w:ind w:left="1440"/>
        <w:rPr>
          <w:rFonts w:ascii="Times New Roman" w:hAnsi="Times New Roman"/>
          <w:sz w:val="22"/>
          <w:szCs w:val="22"/>
        </w:rPr>
      </w:pPr>
    </w:p>
    <w:p w14:paraId="5AA6EE43" w14:textId="77777777" w:rsidR="0028321D" w:rsidRPr="001E66E8"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sidRPr="001E66E8">
        <w:rPr>
          <w:rFonts w:ascii="Times New Roman" w:hAnsi="Times New Roman"/>
          <w:sz w:val="22"/>
          <w:szCs w:val="22"/>
        </w:rPr>
        <w:t xml:space="preserve">In considering requests for an off-Table child support amount, the court requires appropriate documentation and evidence to satisfy itself that reasonable arrangements have been made for the child. This applies in the context of all requests, including proposed divorce judgments where the proceeding is uncontested. </w:t>
      </w:r>
    </w:p>
    <w:p w14:paraId="510F560F" w14:textId="77777777" w:rsidR="0028321D" w:rsidRPr="00D526A5" w:rsidRDefault="0028321D" w:rsidP="0028321D">
      <w:pPr>
        <w:pStyle w:val="ListParagraph"/>
        <w:rPr>
          <w:rFonts w:ascii="Times New Roman" w:hAnsi="Times New Roman"/>
          <w:sz w:val="22"/>
          <w:szCs w:val="22"/>
        </w:rPr>
      </w:pPr>
    </w:p>
    <w:p w14:paraId="54654F7F" w14:textId="77777777" w:rsidR="0028321D" w:rsidRPr="001E21E8" w:rsidRDefault="0028321D" w:rsidP="0028321D">
      <w:pPr>
        <w:pStyle w:val="ListParagraph"/>
        <w:rPr>
          <w:rFonts w:ascii="Times New Roman" w:hAnsi="Times New Roman"/>
          <w:sz w:val="22"/>
          <w:szCs w:val="22"/>
        </w:rPr>
      </w:pPr>
    </w:p>
    <w:p w14:paraId="4DA79101" w14:textId="77777777" w:rsidR="0028321D" w:rsidRDefault="0028321D" w:rsidP="0028321D">
      <w:pPr>
        <w:pStyle w:val="ListParagraph"/>
        <w:numPr>
          <w:ilvl w:val="0"/>
          <w:numId w:val="2"/>
        </w:numPr>
        <w:rPr>
          <w:rFonts w:ascii="Times New Roman" w:hAnsi="Times New Roman"/>
          <w:sz w:val="22"/>
          <w:szCs w:val="22"/>
        </w:rPr>
      </w:pPr>
      <w:r>
        <w:rPr>
          <w:rFonts w:ascii="Times New Roman" w:hAnsi="Times New Roman"/>
          <w:sz w:val="22"/>
          <w:szCs w:val="22"/>
          <w:u w:val="single"/>
        </w:rPr>
        <w:t>Adult Child</w:t>
      </w:r>
    </w:p>
    <w:p w14:paraId="3072B359" w14:textId="77777777" w:rsidR="0028321D" w:rsidRDefault="0028321D" w:rsidP="0028321D">
      <w:pPr>
        <w:pStyle w:val="ListParagraph"/>
        <w:rPr>
          <w:rFonts w:ascii="Times New Roman" w:hAnsi="Times New Roman"/>
          <w:sz w:val="22"/>
          <w:szCs w:val="22"/>
        </w:rPr>
      </w:pPr>
    </w:p>
    <w:p w14:paraId="3B572AF5" w14:textId="77777777" w:rsidR="0028321D" w:rsidRPr="00886BC7"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Pr>
          <w:rFonts w:ascii="Times New Roman" w:hAnsi="Times New Roman"/>
          <w:sz w:val="22"/>
          <w:szCs w:val="22"/>
        </w:rPr>
        <w:t>Lawyers</w:t>
      </w:r>
      <w:r w:rsidRPr="00886BC7">
        <w:rPr>
          <w:rFonts w:ascii="Times New Roman" w:hAnsi="Times New Roman"/>
          <w:sz w:val="22"/>
          <w:szCs w:val="22"/>
        </w:rPr>
        <w:t xml:space="preserve"> and self-represented parties are reminded of s. 3(2) of the </w:t>
      </w:r>
      <w:r w:rsidRPr="00886BC7">
        <w:rPr>
          <w:rFonts w:ascii="Times New Roman" w:hAnsi="Times New Roman"/>
          <w:i/>
          <w:iCs/>
          <w:sz w:val="22"/>
          <w:szCs w:val="22"/>
        </w:rPr>
        <w:t>Guidelines</w:t>
      </w:r>
      <w:r>
        <w:rPr>
          <w:rFonts w:ascii="Times New Roman" w:hAnsi="Times New Roman"/>
          <w:i/>
          <w:iCs/>
          <w:sz w:val="22"/>
          <w:szCs w:val="22"/>
        </w:rPr>
        <w:t>,</w:t>
      </w:r>
      <w:r w:rsidRPr="00886BC7">
        <w:rPr>
          <w:rFonts w:ascii="Times New Roman" w:hAnsi="Times New Roman"/>
          <w:i/>
          <w:iCs/>
          <w:sz w:val="22"/>
          <w:szCs w:val="22"/>
        </w:rPr>
        <w:t xml:space="preserve"> </w:t>
      </w:r>
      <w:r w:rsidRPr="00886BC7">
        <w:rPr>
          <w:rFonts w:ascii="Times New Roman" w:hAnsi="Times New Roman"/>
          <w:sz w:val="22"/>
          <w:szCs w:val="22"/>
        </w:rPr>
        <w:t xml:space="preserve">which </w:t>
      </w:r>
      <w:r>
        <w:rPr>
          <w:rFonts w:ascii="Times New Roman" w:hAnsi="Times New Roman"/>
          <w:sz w:val="22"/>
          <w:szCs w:val="22"/>
        </w:rPr>
        <w:t>addresses child support for an adult child</w:t>
      </w:r>
      <w:r w:rsidRPr="00886BC7">
        <w:rPr>
          <w:rFonts w:ascii="Times New Roman" w:hAnsi="Times New Roman"/>
          <w:sz w:val="22"/>
          <w:szCs w:val="22"/>
        </w:rPr>
        <w:t>:</w:t>
      </w:r>
    </w:p>
    <w:p w14:paraId="1A17D9BD" w14:textId="77777777" w:rsidR="0028321D" w:rsidRPr="00886BC7" w:rsidRDefault="0028321D" w:rsidP="0028321D">
      <w:pPr>
        <w:spacing w:line="276" w:lineRule="auto"/>
        <w:ind w:left="1800" w:right="720"/>
        <w:rPr>
          <w:rFonts w:ascii="Times New Roman" w:hAnsi="Times New Roman"/>
          <w:i/>
          <w:iCs/>
          <w:sz w:val="22"/>
          <w:szCs w:val="22"/>
        </w:rPr>
      </w:pPr>
      <w:r w:rsidRPr="00886BC7">
        <w:rPr>
          <w:rFonts w:ascii="Times New Roman" w:hAnsi="Times New Roman"/>
          <w:i/>
          <w:iCs/>
          <w:sz w:val="22"/>
          <w:szCs w:val="22"/>
        </w:rPr>
        <w:t>3(2) Unless otherwise provided under these Guidelines, where a child to whom a child support order relates is the age of majority or over, the amount of the child support order is</w:t>
      </w:r>
    </w:p>
    <w:p w14:paraId="2008EE3F" w14:textId="77777777" w:rsidR="0028321D" w:rsidRPr="00886BC7" w:rsidRDefault="0028321D" w:rsidP="0028321D">
      <w:pPr>
        <w:pStyle w:val="ListParagraph"/>
        <w:widowControl/>
        <w:numPr>
          <w:ilvl w:val="0"/>
          <w:numId w:val="1"/>
        </w:numPr>
        <w:autoSpaceDE/>
        <w:autoSpaceDN/>
        <w:adjustRightInd/>
        <w:spacing w:after="160" w:line="276" w:lineRule="auto"/>
        <w:ind w:left="2160" w:right="720" w:firstLine="0"/>
        <w:contextualSpacing w:val="0"/>
        <w:rPr>
          <w:rFonts w:ascii="Times New Roman" w:hAnsi="Times New Roman"/>
          <w:i/>
          <w:iCs/>
          <w:sz w:val="22"/>
          <w:szCs w:val="22"/>
        </w:rPr>
      </w:pPr>
      <w:r w:rsidRPr="00886BC7">
        <w:rPr>
          <w:rFonts w:ascii="Times New Roman" w:hAnsi="Times New Roman"/>
          <w:i/>
          <w:iCs/>
          <w:sz w:val="22"/>
          <w:szCs w:val="22"/>
        </w:rPr>
        <w:t xml:space="preserve">the amount determined by applying these Guidelines as if the child were under the age of majority; or </w:t>
      </w:r>
    </w:p>
    <w:p w14:paraId="11A89E69" w14:textId="77777777" w:rsidR="0028321D" w:rsidRPr="00886BC7" w:rsidRDefault="0028321D" w:rsidP="0028321D">
      <w:pPr>
        <w:pStyle w:val="ListParagraph"/>
        <w:widowControl/>
        <w:numPr>
          <w:ilvl w:val="0"/>
          <w:numId w:val="1"/>
        </w:numPr>
        <w:autoSpaceDE/>
        <w:autoSpaceDN/>
        <w:adjustRightInd/>
        <w:spacing w:after="160" w:line="276" w:lineRule="auto"/>
        <w:ind w:left="2160" w:right="720" w:firstLine="0"/>
        <w:contextualSpacing w:val="0"/>
        <w:rPr>
          <w:rFonts w:ascii="Times New Roman" w:hAnsi="Times New Roman"/>
          <w:i/>
          <w:iCs/>
          <w:sz w:val="22"/>
          <w:szCs w:val="22"/>
        </w:rPr>
      </w:pPr>
      <w:proofErr w:type="gramStart"/>
      <w:r w:rsidRPr="00886BC7">
        <w:rPr>
          <w:rFonts w:ascii="Times New Roman" w:hAnsi="Times New Roman"/>
          <w:i/>
          <w:iCs/>
          <w:sz w:val="22"/>
          <w:szCs w:val="22"/>
        </w:rPr>
        <w:t>if</w:t>
      </w:r>
      <w:proofErr w:type="gramEnd"/>
      <w:r w:rsidRPr="00886BC7">
        <w:rPr>
          <w:rFonts w:ascii="Times New Roman" w:hAnsi="Times New Roman"/>
          <w:i/>
          <w:iCs/>
          <w:sz w:val="22"/>
          <w:szCs w:val="22"/>
        </w:rPr>
        <w:t xml:space="preserve"> the court considers that approach to be inappropriate, the amount that it considers appropriate, having regard to the condition, means, needs, and other circumstances of the child and the financial ability of each spouse to contribute to the support of the child.  </w:t>
      </w:r>
    </w:p>
    <w:p w14:paraId="0CD1EC7A" w14:textId="77777777" w:rsidR="0028321D"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The court therefore requires documentation and evidence regarding the circumstances of the child. This often arises where the adult child is attending post-secondary education. In such circumstances, the court generally requires evidence </w:t>
      </w:r>
      <w:r w:rsidRPr="00886BC7">
        <w:rPr>
          <w:rFonts w:ascii="Times New Roman" w:hAnsi="Times New Roman"/>
          <w:sz w:val="22"/>
          <w:szCs w:val="22"/>
        </w:rPr>
        <w:t>relating to the child’s living arrangements</w:t>
      </w:r>
      <w:r>
        <w:rPr>
          <w:rFonts w:ascii="Times New Roman" w:hAnsi="Times New Roman"/>
          <w:sz w:val="22"/>
          <w:szCs w:val="22"/>
        </w:rPr>
        <w:t>;</w:t>
      </w:r>
      <w:r w:rsidRPr="00886BC7">
        <w:rPr>
          <w:rFonts w:ascii="Times New Roman" w:hAnsi="Times New Roman"/>
          <w:sz w:val="22"/>
          <w:szCs w:val="22"/>
        </w:rPr>
        <w:t xml:space="preserve"> whether the child is residing with a parent or not; the child’s employment</w:t>
      </w:r>
      <w:r>
        <w:rPr>
          <w:rFonts w:ascii="Times New Roman" w:hAnsi="Times New Roman"/>
          <w:sz w:val="22"/>
          <w:szCs w:val="22"/>
        </w:rPr>
        <w:t xml:space="preserve"> and income</w:t>
      </w:r>
      <w:r w:rsidRPr="00886BC7">
        <w:rPr>
          <w:rFonts w:ascii="Times New Roman" w:hAnsi="Times New Roman"/>
          <w:sz w:val="22"/>
          <w:szCs w:val="22"/>
        </w:rPr>
        <w:t xml:space="preserve"> (including during the school year and summer months); </w:t>
      </w:r>
      <w:proofErr w:type="gramStart"/>
      <w:r w:rsidRPr="00886BC7">
        <w:rPr>
          <w:rFonts w:ascii="Times New Roman" w:hAnsi="Times New Roman"/>
          <w:sz w:val="22"/>
          <w:szCs w:val="22"/>
        </w:rPr>
        <w:t>and</w:t>
      </w:r>
      <w:r>
        <w:rPr>
          <w:rFonts w:ascii="Times New Roman" w:hAnsi="Times New Roman"/>
          <w:sz w:val="22"/>
          <w:szCs w:val="22"/>
        </w:rPr>
        <w:t>,</w:t>
      </w:r>
      <w:proofErr w:type="gramEnd"/>
      <w:r w:rsidRPr="00886BC7">
        <w:rPr>
          <w:rFonts w:ascii="Times New Roman" w:hAnsi="Times New Roman"/>
          <w:sz w:val="22"/>
          <w:szCs w:val="22"/>
        </w:rPr>
        <w:t xml:space="preserve"> the child’s expenses (for example, educational expenses and living expenses). </w:t>
      </w:r>
    </w:p>
    <w:p w14:paraId="6C69BEFD" w14:textId="77777777" w:rsidR="0028321D" w:rsidRPr="00D526A5" w:rsidRDefault="0028321D" w:rsidP="0028321D">
      <w:pPr>
        <w:pStyle w:val="ListParagraph"/>
        <w:ind w:left="1440"/>
        <w:rPr>
          <w:rFonts w:ascii="Times New Roman" w:hAnsi="Times New Roman"/>
          <w:sz w:val="22"/>
          <w:szCs w:val="22"/>
        </w:rPr>
      </w:pPr>
    </w:p>
    <w:p w14:paraId="2FD0D25E" w14:textId="77777777" w:rsidR="0028321D" w:rsidRPr="00886BC7" w:rsidRDefault="0028321D" w:rsidP="0028321D">
      <w:pPr>
        <w:pStyle w:val="ListParagraph"/>
        <w:widowControl/>
        <w:autoSpaceDE/>
        <w:autoSpaceDN/>
        <w:adjustRightInd/>
        <w:spacing w:after="160" w:line="276" w:lineRule="auto"/>
        <w:ind w:left="1440"/>
        <w:rPr>
          <w:rFonts w:ascii="Times New Roman" w:hAnsi="Times New Roman"/>
          <w:sz w:val="22"/>
          <w:szCs w:val="22"/>
        </w:rPr>
      </w:pPr>
    </w:p>
    <w:p w14:paraId="79232DB2" w14:textId="77777777" w:rsidR="0028321D" w:rsidRPr="00886BC7" w:rsidRDefault="0028321D" w:rsidP="0028321D">
      <w:pPr>
        <w:pStyle w:val="ListParagraph"/>
        <w:numPr>
          <w:ilvl w:val="0"/>
          <w:numId w:val="2"/>
        </w:numPr>
        <w:spacing w:line="276" w:lineRule="auto"/>
        <w:rPr>
          <w:rFonts w:ascii="Times New Roman" w:hAnsi="Times New Roman"/>
          <w:sz w:val="22"/>
          <w:szCs w:val="22"/>
          <w:u w:val="single"/>
        </w:rPr>
      </w:pPr>
      <w:r w:rsidRPr="00886BC7">
        <w:rPr>
          <w:rFonts w:ascii="Times New Roman" w:hAnsi="Times New Roman"/>
          <w:sz w:val="22"/>
          <w:szCs w:val="22"/>
          <w:u w:val="single"/>
        </w:rPr>
        <w:t>Shared Parenting – Child Support</w:t>
      </w:r>
    </w:p>
    <w:p w14:paraId="559D05CA" w14:textId="77777777" w:rsidR="0028321D" w:rsidRPr="00886BC7" w:rsidRDefault="0028321D" w:rsidP="0028321D">
      <w:pPr>
        <w:spacing w:line="276" w:lineRule="auto"/>
        <w:rPr>
          <w:rFonts w:ascii="Times New Roman" w:hAnsi="Times New Roman"/>
          <w:sz w:val="22"/>
          <w:szCs w:val="22"/>
          <w:u w:val="single"/>
        </w:rPr>
      </w:pPr>
    </w:p>
    <w:p w14:paraId="03F4079A" w14:textId="77777777" w:rsidR="0028321D" w:rsidRPr="00D76AE8" w:rsidRDefault="0028321D" w:rsidP="0028321D">
      <w:pPr>
        <w:pStyle w:val="ListParagraph"/>
        <w:widowControl/>
        <w:numPr>
          <w:ilvl w:val="1"/>
          <w:numId w:val="2"/>
        </w:numPr>
        <w:autoSpaceDE/>
        <w:autoSpaceDN/>
        <w:adjustRightInd/>
        <w:spacing w:after="160" w:line="276" w:lineRule="auto"/>
        <w:rPr>
          <w:rFonts w:ascii="Times New Roman" w:hAnsi="Times New Roman"/>
          <w:sz w:val="22"/>
          <w:szCs w:val="22"/>
        </w:rPr>
      </w:pPr>
      <w:r w:rsidRPr="00D76AE8">
        <w:rPr>
          <w:rFonts w:ascii="Times New Roman" w:hAnsi="Times New Roman"/>
          <w:sz w:val="22"/>
          <w:szCs w:val="22"/>
        </w:rPr>
        <w:t xml:space="preserve">Lawyers and self-represented parties are reminded that in situations of shared parenting, the court is obligated to determine child support in accordance with s. 9 of the </w:t>
      </w:r>
      <w:r w:rsidRPr="00D76AE8">
        <w:rPr>
          <w:rFonts w:ascii="Times New Roman" w:hAnsi="Times New Roman"/>
          <w:i/>
          <w:iCs/>
          <w:sz w:val="22"/>
          <w:szCs w:val="22"/>
        </w:rPr>
        <w:t>Guidelines:</w:t>
      </w:r>
    </w:p>
    <w:p w14:paraId="43D46407" w14:textId="77777777" w:rsidR="0028321D" w:rsidRPr="00886BC7" w:rsidRDefault="0028321D" w:rsidP="0028321D">
      <w:pPr>
        <w:pStyle w:val="section"/>
        <w:shd w:val="clear" w:color="auto" w:fill="FFFFFF"/>
        <w:spacing w:before="168" w:beforeAutospacing="0" w:after="120" w:afterAutospacing="0" w:line="276" w:lineRule="auto"/>
        <w:ind w:left="1800"/>
        <w:rPr>
          <w:i/>
          <w:iCs/>
          <w:sz w:val="22"/>
          <w:szCs w:val="22"/>
        </w:rPr>
      </w:pPr>
      <w:proofErr w:type="gramStart"/>
      <w:r w:rsidRPr="00886BC7">
        <w:rPr>
          <w:rStyle w:val="sectionlabel"/>
          <w:rFonts w:eastAsiaTheme="majorEastAsia"/>
          <w:i/>
          <w:iCs/>
          <w:sz w:val="22"/>
          <w:szCs w:val="22"/>
        </w:rPr>
        <w:t>9</w:t>
      </w:r>
      <w:r w:rsidRPr="00886BC7">
        <w:rPr>
          <w:i/>
          <w:iCs/>
          <w:sz w:val="22"/>
          <w:szCs w:val="22"/>
        </w:rPr>
        <w:t xml:space="preserve">  If</w:t>
      </w:r>
      <w:proofErr w:type="gramEnd"/>
      <w:r w:rsidRPr="00886BC7">
        <w:rPr>
          <w:i/>
          <w:iCs/>
          <w:sz w:val="22"/>
          <w:szCs w:val="22"/>
        </w:rPr>
        <w:t xml:space="preserve"> each spouse exercises not less than 40% of parenting time with a child over the course of a year, the amount of the child support order must be determined by </w:t>
      </w:r>
      <w:proofErr w:type="gramStart"/>
      <w:r w:rsidRPr="00886BC7">
        <w:rPr>
          <w:i/>
          <w:iCs/>
          <w:sz w:val="22"/>
          <w:szCs w:val="22"/>
        </w:rPr>
        <w:t>taking into account</w:t>
      </w:r>
      <w:proofErr w:type="gramEnd"/>
    </w:p>
    <w:p w14:paraId="460E4C84" w14:textId="77777777" w:rsidR="0028321D" w:rsidRPr="00886BC7" w:rsidRDefault="0028321D" w:rsidP="0028321D">
      <w:pPr>
        <w:pStyle w:val="paragraph"/>
        <w:shd w:val="clear" w:color="auto" w:fill="FFFFFF"/>
        <w:spacing w:before="168" w:beforeAutospacing="0" w:after="120" w:afterAutospacing="0" w:line="276" w:lineRule="auto"/>
        <w:ind w:left="2160"/>
        <w:rPr>
          <w:i/>
          <w:iCs/>
          <w:sz w:val="22"/>
          <w:szCs w:val="22"/>
        </w:rPr>
      </w:pPr>
      <w:r w:rsidRPr="00886BC7">
        <w:rPr>
          <w:rStyle w:val="lawlabel"/>
          <w:rFonts w:eastAsiaTheme="majorEastAsia"/>
          <w:i/>
          <w:iCs/>
          <w:sz w:val="22"/>
          <w:szCs w:val="22"/>
        </w:rPr>
        <w:t>(a</w:t>
      </w:r>
      <w:proofErr w:type="gramStart"/>
      <w:r w:rsidRPr="00886BC7">
        <w:rPr>
          <w:rStyle w:val="lawlabel"/>
          <w:rFonts w:eastAsiaTheme="majorEastAsia"/>
          <w:i/>
          <w:iCs/>
          <w:sz w:val="22"/>
          <w:szCs w:val="22"/>
        </w:rPr>
        <w:t>)</w:t>
      </w:r>
      <w:r w:rsidRPr="00886BC7">
        <w:rPr>
          <w:i/>
          <w:iCs/>
          <w:sz w:val="22"/>
          <w:szCs w:val="22"/>
        </w:rPr>
        <w:t xml:space="preserve">  the</w:t>
      </w:r>
      <w:proofErr w:type="gramEnd"/>
      <w:r w:rsidRPr="00886BC7">
        <w:rPr>
          <w:i/>
          <w:iCs/>
          <w:sz w:val="22"/>
          <w:szCs w:val="22"/>
        </w:rPr>
        <w:t xml:space="preserve"> amounts set out in the applicable tables for each of the </w:t>
      </w:r>
      <w:proofErr w:type="gramStart"/>
      <w:r w:rsidRPr="00886BC7">
        <w:rPr>
          <w:i/>
          <w:iCs/>
          <w:sz w:val="22"/>
          <w:szCs w:val="22"/>
        </w:rPr>
        <w:t>spouses;</w:t>
      </w:r>
      <w:proofErr w:type="gramEnd"/>
    </w:p>
    <w:p w14:paraId="2D9A33FA" w14:textId="77777777" w:rsidR="0028321D" w:rsidRPr="00886BC7" w:rsidRDefault="0028321D" w:rsidP="0028321D">
      <w:pPr>
        <w:pStyle w:val="paragraph"/>
        <w:shd w:val="clear" w:color="auto" w:fill="FFFFFF"/>
        <w:spacing w:before="168" w:beforeAutospacing="0" w:after="120" w:afterAutospacing="0" w:line="276" w:lineRule="auto"/>
        <w:ind w:left="2160"/>
        <w:rPr>
          <w:i/>
          <w:iCs/>
          <w:sz w:val="22"/>
          <w:szCs w:val="22"/>
        </w:rPr>
      </w:pPr>
      <w:r w:rsidRPr="00886BC7">
        <w:rPr>
          <w:rStyle w:val="lawlabel"/>
          <w:rFonts w:eastAsiaTheme="majorEastAsia"/>
          <w:i/>
          <w:iCs/>
          <w:sz w:val="22"/>
          <w:szCs w:val="22"/>
        </w:rPr>
        <w:t>(b</w:t>
      </w:r>
      <w:proofErr w:type="gramStart"/>
      <w:r w:rsidRPr="00886BC7">
        <w:rPr>
          <w:rStyle w:val="lawlabel"/>
          <w:rFonts w:eastAsiaTheme="majorEastAsia"/>
          <w:i/>
          <w:iCs/>
          <w:sz w:val="22"/>
          <w:szCs w:val="22"/>
        </w:rPr>
        <w:t>)</w:t>
      </w:r>
      <w:r w:rsidRPr="00886BC7">
        <w:rPr>
          <w:i/>
          <w:iCs/>
          <w:sz w:val="22"/>
          <w:szCs w:val="22"/>
        </w:rPr>
        <w:t xml:space="preserve">  the</w:t>
      </w:r>
      <w:proofErr w:type="gramEnd"/>
      <w:r w:rsidRPr="00886BC7">
        <w:rPr>
          <w:i/>
          <w:iCs/>
          <w:sz w:val="22"/>
          <w:szCs w:val="22"/>
        </w:rPr>
        <w:t xml:space="preserve"> increased costs of shared parenting time arrangements; and</w:t>
      </w:r>
    </w:p>
    <w:p w14:paraId="0FC8D75D" w14:textId="77777777" w:rsidR="0028321D" w:rsidRDefault="0028321D" w:rsidP="0028321D">
      <w:pPr>
        <w:pStyle w:val="paragraph"/>
        <w:shd w:val="clear" w:color="auto" w:fill="FFFFFF"/>
        <w:spacing w:before="168" w:beforeAutospacing="0" w:after="120" w:afterAutospacing="0" w:line="276" w:lineRule="auto"/>
        <w:ind w:left="2160"/>
        <w:rPr>
          <w:i/>
          <w:iCs/>
          <w:sz w:val="22"/>
          <w:szCs w:val="22"/>
        </w:rPr>
      </w:pPr>
      <w:r w:rsidRPr="00886BC7">
        <w:rPr>
          <w:rStyle w:val="lawlabel"/>
          <w:rFonts w:eastAsiaTheme="majorEastAsia"/>
          <w:i/>
          <w:iCs/>
          <w:sz w:val="22"/>
          <w:szCs w:val="22"/>
        </w:rPr>
        <w:lastRenderedPageBreak/>
        <w:t>(c</w:t>
      </w:r>
      <w:proofErr w:type="gramStart"/>
      <w:r w:rsidRPr="00886BC7">
        <w:rPr>
          <w:rStyle w:val="lawlabel"/>
          <w:rFonts w:eastAsiaTheme="majorEastAsia"/>
          <w:i/>
          <w:iCs/>
          <w:sz w:val="22"/>
          <w:szCs w:val="22"/>
        </w:rPr>
        <w:t>)</w:t>
      </w:r>
      <w:r w:rsidRPr="00886BC7">
        <w:rPr>
          <w:i/>
          <w:iCs/>
          <w:sz w:val="22"/>
          <w:szCs w:val="22"/>
        </w:rPr>
        <w:t xml:space="preserve">  the</w:t>
      </w:r>
      <w:proofErr w:type="gramEnd"/>
      <w:r w:rsidRPr="00886BC7">
        <w:rPr>
          <w:i/>
          <w:iCs/>
          <w:sz w:val="22"/>
          <w:szCs w:val="22"/>
        </w:rPr>
        <w:t xml:space="preserve"> conditions, means, needs and other circumstances of each spouse and of any child for whom support is sought. </w:t>
      </w:r>
    </w:p>
    <w:p w14:paraId="26FAC096" w14:textId="77777777" w:rsidR="0028321D" w:rsidRPr="001E66E8" w:rsidRDefault="0028321D" w:rsidP="0028321D">
      <w:pPr>
        <w:pStyle w:val="paragraph"/>
        <w:numPr>
          <w:ilvl w:val="1"/>
          <w:numId w:val="2"/>
        </w:numPr>
        <w:shd w:val="clear" w:color="auto" w:fill="FFFFFF"/>
        <w:spacing w:before="168" w:beforeAutospacing="0" w:after="120" w:afterAutospacing="0" w:line="276" w:lineRule="auto"/>
        <w:rPr>
          <w:i/>
          <w:iCs/>
          <w:sz w:val="22"/>
          <w:szCs w:val="22"/>
        </w:rPr>
      </w:pPr>
      <w:r w:rsidRPr="00D76AE8">
        <w:rPr>
          <w:sz w:val="22"/>
          <w:szCs w:val="22"/>
        </w:rPr>
        <w:t xml:space="preserve">The court therefore considers not only the applicable </w:t>
      </w:r>
      <w:r>
        <w:rPr>
          <w:sz w:val="22"/>
          <w:szCs w:val="22"/>
        </w:rPr>
        <w:t>T</w:t>
      </w:r>
      <w:r w:rsidRPr="00D76AE8">
        <w:rPr>
          <w:sz w:val="22"/>
          <w:szCs w:val="22"/>
        </w:rPr>
        <w:t>able amount, but also the two additional factors set out in s</w:t>
      </w:r>
      <w:r>
        <w:rPr>
          <w:sz w:val="22"/>
          <w:szCs w:val="22"/>
        </w:rPr>
        <w:t>.</w:t>
      </w:r>
      <w:r w:rsidRPr="00D76AE8">
        <w:rPr>
          <w:sz w:val="22"/>
          <w:szCs w:val="22"/>
        </w:rPr>
        <w:t xml:space="preserve"> 9(b) and (c) above.</w:t>
      </w:r>
    </w:p>
    <w:p w14:paraId="7CBAFE00" w14:textId="77777777" w:rsidR="0028321D" w:rsidRPr="00D76AE8" w:rsidRDefault="0028321D" w:rsidP="0028321D">
      <w:pPr>
        <w:pStyle w:val="paragraph"/>
        <w:shd w:val="clear" w:color="auto" w:fill="FFFFFF"/>
        <w:spacing w:before="168" w:beforeAutospacing="0" w:after="120" w:afterAutospacing="0" w:line="276" w:lineRule="auto"/>
        <w:ind w:left="1440"/>
        <w:rPr>
          <w:i/>
          <w:iCs/>
          <w:sz w:val="22"/>
          <w:szCs w:val="22"/>
        </w:rPr>
      </w:pPr>
    </w:p>
    <w:p w14:paraId="2CAF3917" w14:textId="77777777" w:rsidR="0028321D" w:rsidRPr="00886BC7" w:rsidRDefault="0028321D" w:rsidP="0028321D">
      <w:pPr>
        <w:pStyle w:val="ListParagraph"/>
        <w:numPr>
          <w:ilvl w:val="0"/>
          <w:numId w:val="2"/>
        </w:numPr>
        <w:spacing w:line="276" w:lineRule="auto"/>
        <w:rPr>
          <w:rFonts w:ascii="Times New Roman" w:hAnsi="Times New Roman"/>
          <w:sz w:val="22"/>
          <w:szCs w:val="22"/>
          <w:u w:val="single"/>
        </w:rPr>
      </w:pPr>
      <w:r w:rsidRPr="00886BC7">
        <w:rPr>
          <w:rFonts w:ascii="Times New Roman" w:hAnsi="Times New Roman"/>
          <w:sz w:val="22"/>
          <w:szCs w:val="22"/>
          <w:u w:val="single"/>
        </w:rPr>
        <w:t>Child Support – Details to Include in Originating Process</w:t>
      </w:r>
    </w:p>
    <w:p w14:paraId="592E0131" w14:textId="77777777" w:rsidR="0028321D" w:rsidRPr="00886BC7" w:rsidRDefault="0028321D" w:rsidP="0028321D">
      <w:pPr>
        <w:spacing w:line="276" w:lineRule="auto"/>
        <w:rPr>
          <w:rFonts w:ascii="Times New Roman" w:hAnsi="Times New Roman"/>
          <w:b/>
          <w:bCs/>
          <w:sz w:val="22"/>
          <w:szCs w:val="22"/>
        </w:rPr>
      </w:pPr>
    </w:p>
    <w:p w14:paraId="54F0ACD6" w14:textId="77777777" w:rsidR="0028321D" w:rsidRPr="00886BC7" w:rsidRDefault="0028321D" w:rsidP="0028321D">
      <w:pPr>
        <w:pStyle w:val="ListParagraph"/>
        <w:widowControl/>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An originating process requesting relief under the </w:t>
      </w:r>
      <w:r w:rsidRPr="00D526A5">
        <w:rPr>
          <w:rFonts w:ascii="Times New Roman" w:hAnsi="Times New Roman"/>
          <w:i/>
          <w:iCs/>
          <w:sz w:val="22"/>
          <w:szCs w:val="22"/>
        </w:rPr>
        <w:t>Divorce Act</w:t>
      </w:r>
      <w:r w:rsidRPr="00D526A5">
        <w:rPr>
          <w:rFonts w:ascii="Times New Roman" w:hAnsi="Times New Roman"/>
          <w:sz w:val="22"/>
          <w:szCs w:val="22"/>
        </w:rPr>
        <w:t xml:space="preserve"> or the </w:t>
      </w:r>
      <w:r w:rsidRPr="00D526A5">
        <w:rPr>
          <w:rFonts w:ascii="Times New Roman" w:hAnsi="Times New Roman"/>
          <w:i/>
          <w:iCs/>
          <w:sz w:val="22"/>
          <w:szCs w:val="22"/>
        </w:rPr>
        <w:t>Children’s Law Act</w:t>
      </w:r>
      <w:r w:rsidRPr="00886BC7">
        <w:rPr>
          <w:rFonts w:ascii="Times New Roman" w:hAnsi="Times New Roman"/>
          <w:b/>
          <w:bCs/>
          <w:sz w:val="22"/>
          <w:szCs w:val="22"/>
        </w:rPr>
        <w:t xml:space="preserve"> </w:t>
      </w:r>
      <w:r w:rsidRPr="00886BC7">
        <w:rPr>
          <w:rFonts w:ascii="Times New Roman" w:hAnsi="Times New Roman"/>
          <w:sz w:val="22"/>
          <w:szCs w:val="22"/>
        </w:rPr>
        <w:t xml:space="preserve">is to clearly indicate if there are, or are not, children of the union. If there are children of the union, the pleading is to state the names and dates of birth of the children. If no child support is being sought for any of the children, the reason is to be </w:t>
      </w:r>
      <w:r w:rsidRPr="00E651A2">
        <w:rPr>
          <w:rFonts w:ascii="Times New Roman" w:hAnsi="Times New Roman"/>
          <w:sz w:val="22"/>
          <w:szCs w:val="22"/>
        </w:rPr>
        <w:t>stated (e.g., if the</w:t>
      </w:r>
      <w:r w:rsidRPr="00886BC7">
        <w:rPr>
          <w:rFonts w:ascii="Times New Roman" w:hAnsi="Times New Roman"/>
          <w:sz w:val="22"/>
          <w:szCs w:val="22"/>
        </w:rPr>
        <w:t xml:space="preserve"> child is over the age of majority and is living independently). </w:t>
      </w:r>
    </w:p>
    <w:p w14:paraId="6BFA27CA"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7BDD" w14:textId="77777777" w:rsidR="00942B0D" w:rsidRDefault="00942B0D" w:rsidP="00942B0D">
      <w:r>
        <w:separator/>
      </w:r>
    </w:p>
  </w:endnote>
  <w:endnote w:type="continuationSeparator" w:id="0">
    <w:p w14:paraId="5A64D780" w14:textId="77777777" w:rsidR="00942B0D" w:rsidRDefault="00942B0D" w:rsidP="0094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14736"/>
      <w:docPartObj>
        <w:docPartGallery w:val="Page Numbers (Bottom of Page)"/>
        <w:docPartUnique/>
      </w:docPartObj>
    </w:sdtPr>
    <w:sdtEndPr>
      <w:rPr>
        <w:noProof/>
      </w:rPr>
    </w:sdtEndPr>
    <w:sdtContent>
      <w:p w14:paraId="70C864F3" w14:textId="6C1350C6" w:rsidR="00942B0D" w:rsidRDefault="00942B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8F0DB" w14:textId="77777777" w:rsidR="00942B0D" w:rsidRDefault="0094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3D67" w14:textId="77777777" w:rsidR="00942B0D" w:rsidRDefault="00942B0D" w:rsidP="00942B0D">
      <w:r>
        <w:separator/>
      </w:r>
    </w:p>
  </w:footnote>
  <w:footnote w:type="continuationSeparator" w:id="0">
    <w:p w14:paraId="30422404" w14:textId="77777777" w:rsidR="00942B0D" w:rsidRDefault="00942B0D" w:rsidP="0094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2A6"/>
    <w:multiLevelType w:val="hybridMultilevel"/>
    <w:tmpl w:val="CDC825F8"/>
    <w:lvl w:ilvl="0" w:tplc="F4F615B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FC63D1"/>
    <w:multiLevelType w:val="hybridMultilevel"/>
    <w:tmpl w:val="64E40FF2"/>
    <w:lvl w:ilvl="0" w:tplc="0409000F">
      <w:start w:val="1"/>
      <w:numFmt w:val="decimal"/>
      <w:lvlText w:val="%1."/>
      <w:lvlJc w:val="left"/>
      <w:pPr>
        <w:ind w:left="720" w:hanging="360"/>
      </w:pPr>
      <w:rPr>
        <w:rFonts w:hint="default"/>
      </w:rPr>
    </w:lvl>
    <w:lvl w:ilvl="1" w:tplc="1396ACAA">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716974">
    <w:abstractNumId w:val="0"/>
  </w:num>
  <w:num w:numId="2" w16cid:durableId="27606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1D"/>
    <w:rsid w:val="000824AF"/>
    <w:rsid w:val="0028321D"/>
    <w:rsid w:val="003E4C92"/>
    <w:rsid w:val="00424F8B"/>
    <w:rsid w:val="004B03A6"/>
    <w:rsid w:val="004C60FA"/>
    <w:rsid w:val="008D7D56"/>
    <w:rsid w:val="009230C7"/>
    <w:rsid w:val="00942B0D"/>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7D61"/>
  <w15:chartTrackingRefBased/>
  <w15:docId w15:val="{888B7620-C8B3-4D55-83E4-96B1E0BE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1D"/>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283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2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2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2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2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2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2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2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2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2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2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2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2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2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2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2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2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21D"/>
    <w:rPr>
      <w:i/>
      <w:iCs/>
      <w:color w:val="404040" w:themeColor="text1" w:themeTint="BF"/>
    </w:rPr>
  </w:style>
  <w:style w:type="paragraph" w:styleId="ListParagraph">
    <w:name w:val="List Paragraph"/>
    <w:basedOn w:val="Normal"/>
    <w:uiPriority w:val="34"/>
    <w:qFormat/>
    <w:rsid w:val="0028321D"/>
    <w:pPr>
      <w:ind w:left="720"/>
      <w:contextualSpacing/>
    </w:pPr>
  </w:style>
  <w:style w:type="character" w:styleId="IntenseEmphasis">
    <w:name w:val="Intense Emphasis"/>
    <w:basedOn w:val="DefaultParagraphFont"/>
    <w:uiPriority w:val="21"/>
    <w:qFormat/>
    <w:rsid w:val="0028321D"/>
    <w:rPr>
      <w:i/>
      <w:iCs/>
      <w:color w:val="0F4761" w:themeColor="accent1" w:themeShade="BF"/>
    </w:rPr>
  </w:style>
  <w:style w:type="paragraph" w:styleId="IntenseQuote">
    <w:name w:val="Intense Quote"/>
    <w:basedOn w:val="Normal"/>
    <w:next w:val="Normal"/>
    <w:link w:val="IntenseQuoteChar"/>
    <w:uiPriority w:val="30"/>
    <w:qFormat/>
    <w:rsid w:val="00283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21D"/>
    <w:rPr>
      <w:i/>
      <w:iCs/>
      <w:color w:val="0F4761" w:themeColor="accent1" w:themeShade="BF"/>
    </w:rPr>
  </w:style>
  <w:style w:type="character" w:styleId="IntenseReference">
    <w:name w:val="Intense Reference"/>
    <w:basedOn w:val="DefaultParagraphFont"/>
    <w:uiPriority w:val="32"/>
    <w:qFormat/>
    <w:rsid w:val="0028321D"/>
    <w:rPr>
      <w:b/>
      <w:bCs/>
      <w:smallCaps/>
      <w:color w:val="0F4761" w:themeColor="accent1" w:themeShade="BF"/>
      <w:spacing w:val="5"/>
    </w:rPr>
  </w:style>
  <w:style w:type="paragraph" w:customStyle="1" w:styleId="PRACTICETITLE">
    <w:name w:val="PRACTICETITLE"/>
    <w:basedOn w:val="Normal"/>
    <w:rsid w:val="0028321D"/>
    <w:pPr>
      <w:spacing w:line="216" w:lineRule="auto"/>
      <w:jc w:val="center"/>
    </w:pPr>
    <w:rPr>
      <w:rFonts w:ascii="Times New Roman" w:hAnsi="Times New Roman"/>
      <w:b/>
      <w:lang w:val="en-GB"/>
    </w:rPr>
  </w:style>
  <w:style w:type="paragraph" w:customStyle="1" w:styleId="Default">
    <w:name w:val="Default"/>
    <w:rsid w:val="0028321D"/>
    <w:pPr>
      <w:autoSpaceDE w:val="0"/>
      <w:autoSpaceDN w:val="0"/>
      <w:adjustRightInd w:val="0"/>
    </w:pPr>
    <w:rPr>
      <w:rFonts w:ascii="Calibri" w:hAnsi="Calibri" w:cs="Calibri"/>
      <w:color w:val="000000"/>
      <w:kern w:val="0"/>
      <w14:ligatures w14:val="none"/>
    </w:rPr>
  </w:style>
  <w:style w:type="paragraph" w:customStyle="1" w:styleId="section">
    <w:name w:val="section"/>
    <w:basedOn w:val="Normal"/>
    <w:rsid w:val="0028321D"/>
    <w:pPr>
      <w:widowControl/>
      <w:autoSpaceDE/>
      <w:autoSpaceDN/>
      <w:adjustRightInd/>
      <w:spacing w:before="100" w:beforeAutospacing="1" w:after="100" w:afterAutospacing="1"/>
    </w:pPr>
    <w:rPr>
      <w:rFonts w:ascii="Times New Roman" w:hAnsi="Times New Roman"/>
      <w:sz w:val="24"/>
    </w:rPr>
  </w:style>
  <w:style w:type="character" w:customStyle="1" w:styleId="sectionlabel">
    <w:name w:val="sectionlabel"/>
    <w:basedOn w:val="DefaultParagraphFont"/>
    <w:rsid w:val="0028321D"/>
  </w:style>
  <w:style w:type="paragraph" w:customStyle="1" w:styleId="paragraph">
    <w:name w:val="paragraph"/>
    <w:basedOn w:val="Normal"/>
    <w:rsid w:val="0028321D"/>
    <w:pPr>
      <w:widowControl/>
      <w:autoSpaceDE/>
      <w:autoSpaceDN/>
      <w:adjustRightInd/>
      <w:spacing w:before="100" w:beforeAutospacing="1" w:after="100" w:afterAutospacing="1"/>
    </w:pPr>
    <w:rPr>
      <w:rFonts w:ascii="Times New Roman" w:hAnsi="Times New Roman"/>
      <w:sz w:val="24"/>
    </w:rPr>
  </w:style>
  <w:style w:type="character" w:customStyle="1" w:styleId="lawlabel">
    <w:name w:val="lawlabel"/>
    <w:basedOn w:val="DefaultParagraphFont"/>
    <w:rsid w:val="0028321D"/>
  </w:style>
  <w:style w:type="paragraph" w:styleId="Header">
    <w:name w:val="header"/>
    <w:basedOn w:val="Normal"/>
    <w:link w:val="HeaderChar"/>
    <w:uiPriority w:val="99"/>
    <w:unhideWhenUsed/>
    <w:rsid w:val="00942B0D"/>
    <w:pPr>
      <w:tabs>
        <w:tab w:val="center" w:pos="4680"/>
        <w:tab w:val="right" w:pos="9360"/>
      </w:tabs>
    </w:pPr>
  </w:style>
  <w:style w:type="character" w:customStyle="1" w:styleId="HeaderChar">
    <w:name w:val="Header Char"/>
    <w:basedOn w:val="DefaultParagraphFont"/>
    <w:link w:val="Header"/>
    <w:uiPriority w:val="99"/>
    <w:rsid w:val="00942B0D"/>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942B0D"/>
    <w:pPr>
      <w:tabs>
        <w:tab w:val="center" w:pos="4680"/>
        <w:tab w:val="right" w:pos="9360"/>
      </w:tabs>
    </w:pPr>
  </w:style>
  <w:style w:type="character" w:customStyle="1" w:styleId="FooterChar">
    <w:name w:val="Footer Char"/>
    <w:basedOn w:val="DefaultParagraphFont"/>
    <w:link w:val="Footer"/>
    <w:uiPriority w:val="99"/>
    <w:rsid w:val="00942B0D"/>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4414</Characters>
  <Application>Microsoft Office Word</Application>
  <DocSecurity>0</DocSecurity>
  <Lines>36</Lines>
  <Paragraphs>10</Paragraphs>
  <ScaleCrop>false</ScaleCrop>
  <Company>ITSS</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2025-08-25T13:47:00Z</dcterms:created>
  <dcterms:modified xsi:type="dcterms:W3CDTF">2025-08-25T16:37:00Z</dcterms:modified>
</cp:coreProperties>
</file>