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7D6B" w14:textId="77777777" w:rsidR="003E6DA3" w:rsidRPr="00D0360D" w:rsidRDefault="003E6DA3" w:rsidP="003E6DA3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7283"/>
      <w:bookmarkStart w:id="1" w:name="_Hlk199243450"/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4C4496">
        <w:rPr>
          <w:rFonts w:ascii="Times New Roman" w:hAnsi="Times New Roman"/>
          <w:b/>
          <w:bCs/>
          <w:sz w:val="22"/>
          <w:szCs w:val="22"/>
        </w:rPr>
        <w:t xml:space="preserve">DETENTION REVIEW HEARINGS (s. 525 of the </w:t>
      </w:r>
      <w:r w:rsidRPr="00A823D6">
        <w:rPr>
          <w:rFonts w:ascii="Times New Roman" w:hAnsi="Times New Roman"/>
          <w:b/>
          <w:bCs/>
          <w:i/>
          <w:iCs/>
          <w:sz w:val="22"/>
          <w:szCs w:val="22"/>
        </w:rPr>
        <w:t xml:space="preserve">Criminal </w:t>
      </w:r>
      <w:r w:rsidRPr="004C4496">
        <w:rPr>
          <w:rFonts w:ascii="Times New Roman" w:hAnsi="Times New Roman"/>
          <w:b/>
          <w:bCs/>
          <w:i/>
          <w:iCs/>
          <w:sz w:val="22"/>
          <w:szCs w:val="22"/>
        </w:rPr>
        <w:t xml:space="preserve">Code </w:t>
      </w:r>
      <w:r w:rsidRPr="00A823D6">
        <w:rPr>
          <w:rFonts w:ascii="Times New Roman" w:hAnsi="Times New Roman"/>
          <w:b/>
          <w:bCs/>
          <w:i/>
          <w:iCs/>
          <w:sz w:val="22"/>
          <w:szCs w:val="22"/>
        </w:rPr>
        <w:t>of Canada</w:t>
      </w:r>
      <w:r w:rsidRPr="004C4496">
        <w:rPr>
          <w:rFonts w:ascii="Times New Roman" w:hAnsi="Times New Roman"/>
          <w:b/>
          <w:bCs/>
          <w:sz w:val="22"/>
          <w:szCs w:val="22"/>
        </w:rPr>
        <w:t>)</w:t>
      </w:r>
    </w:p>
    <w:p w14:paraId="4C9B4138" w14:textId="77777777" w:rsidR="003E6DA3" w:rsidRDefault="003E6DA3" w:rsidP="003E6DA3">
      <w:pPr>
        <w:widowControl/>
        <w:autoSpaceDE/>
        <w:autoSpaceDN/>
        <w:adjustRightInd/>
        <w:spacing w:after="16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7B21E8E4" w14:textId="77777777" w:rsidR="003E6DA3" w:rsidRPr="001A036A" w:rsidRDefault="003E6DA3" w:rsidP="003E6DA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General</w:t>
      </w:r>
    </w:p>
    <w:p w14:paraId="5EF07414" w14:textId="77777777" w:rsidR="003E6DA3" w:rsidRDefault="003E6DA3" w:rsidP="003E6DA3">
      <w:pPr>
        <w:pStyle w:val="ListParagraph"/>
        <w:widowControl/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</w:p>
    <w:p w14:paraId="49A209D8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Lawyers</w:t>
      </w:r>
      <w:r w:rsidRPr="00886BC7">
        <w:rPr>
          <w:rFonts w:ascii="Times New Roman" w:hAnsi="Times New Roman"/>
          <w:sz w:val="22"/>
          <w:szCs w:val="22"/>
        </w:rPr>
        <w:t xml:space="preserve">, self-represented parties and the Provincial Correctional Centre are reminded of s. 525 of the </w:t>
      </w:r>
      <w:r w:rsidRPr="00886BC7">
        <w:rPr>
          <w:rFonts w:ascii="Times New Roman" w:hAnsi="Times New Roman"/>
          <w:i/>
          <w:iCs/>
          <w:sz w:val="22"/>
          <w:szCs w:val="22"/>
        </w:rPr>
        <w:t>Criminal Code of Canada</w:t>
      </w:r>
      <w:r w:rsidRPr="00886BC7">
        <w:rPr>
          <w:rFonts w:ascii="Times New Roman" w:hAnsi="Times New Roman"/>
          <w:sz w:val="22"/>
          <w:szCs w:val="22"/>
        </w:rPr>
        <w:t xml:space="preserve"> (the “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”).  Section 525(1) of the 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 provides that the person “having the custody of an accused” is obligated to apply to a judge to fix a date for a hearing to determine </w:t>
      </w:r>
      <w:proofErr w:type="gramStart"/>
      <w:r w:rsidRPr="00886BC7">
        <w:rPr>
          <w:rFonts w:ascii="Times New Roman" w:hAnsi="Times New Roman"/>
          <w:sz w:val="22"/>
          <w:szCs w:val="22"/>
        </w:rPr>
        <w:t>whether or not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the accused should be released from custody, if the trial has not commenced within 90 days</w:t>
      </w:r>
      <w:r w:rsidRPr="00886BC7">
        <w:rPr>
          <w:rStyle w:val="Heading1Char"/>
          <w:sz w:val="22"/>
          <w:szCs w:val="22"/>
        </w:rPr>
        <w:t xml:space="preserve"> </w:t>
      </w:r>
      <w:r w:rsidRPr="00A823D6">
        <w:rPr>
          <w:rStyle w:val="cf01"/>
          <w:rFonts w:ascii="Times New Roman" w:hAnsi="Times New Roman"/>
          <w:sz w:val="22"/>
          <w:szCs w:val="22"/>
        </w:rPr>
        <w:t xml:space="preserve">of the circumstances listed in s. 525(1) of the </w:t>
      </w:r>
      <w:r w:rsidRPr="00A823D6">
        <w:rPr>
          <w:rStyle w:val="cf11"/>
          <w:rFonts w:ascii="Times New Roman" w:hAnsi="Times New Roman"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.  Section 525(1) of the 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 provides the person </w:t>
      </w:r>
      <w:r>
        <w:rPr>
          <w:rFonts w:ascii="Times New Roman" w:hAnsi="Times New Roman"/>
          <w:sz w:val="22"/>
          <w:szCs w:val="22"/>
        </w:rPr>
        <w:t xml:space="preserve">having custody of an accused </w:t>
      </w:r>
      <w:r w:rsidRPr="00886BC7">
        <w:rPr>
          <w:rFonts w:ascii="Times New Roman" w:hAnsi="Times New Roman"/>
          <w:sz w:val="22"/>
          <w:szCs w:val="22"/>
        </w:rPr>
        <w:t xml:space="preserve">is </w:t>
      </w:r>
      <w:proofErr w:type="gramStart"/>
      <w:r w:rsidRPr="00886BC7">
        <w:rPr>
          <w:rFonts w:ascii="Times New Roman" w:hAnsi="Times New Roman"/>
          <w:sz w:val="22"/>
          <w:szCs w:val="22"/>
        </w:rPr>
        <w:t>obligated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to make this application immediately after the expiry of those 90 days.  However, s. 525(1.1) of the 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 contemplates the accused waiving the accused’s right to a hearing.  Further direction regarding detention review hearings is set out in s. 525 of the 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. </w:t>
      </w:r>
    </w:p>
    <w:p w14:paraId="6860707E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56C8877C" w14:textId="77777777" w:rsidR="003E6DA3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court, in conjunction with representation from Community and Correctional Services and the bar, has created </w:t>
      </w:r>
      <w:proofErr w:type="gramStart"/>
      <w:r w:rsidRPr="00886BC7">
        <w:rPr>
          <w:rFonts w:ascii="Times New Roman" w:hAnsi="Times New Roman"/>
          <w:sz w:val="22"/>
          <w:szCs w:val="22"/>
        </w:rPr>
        <w:t>a number of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forms to facilitate compliance with s. 525 of the </w:t>
      </w:r>
      <w:r w:rsidRPr="00886BC7">
        <w:rPr>
          <w:rFonts w:ascii="Times New Roman" w:hAnsi="Times New Roman"/>
          <w:i/>
          <w:iCs/>
          <w:sz w:val="22"/>
          <w:szCs w:val="22"/>
        </w:rPr>
        <w:t>Code</w:t>
      </w:r>
      <w:r w:rsidRPr="00886BC7">
        <w:rPr>
          <w:rFonts w:ascii="Times New Roman" w:hAnsi="Times New Roman"/>
          <w:sz w:val="22"/>
          <w:szCs w:val="22"/>
        </w:rPr>
        <w:t xml:space="preserve">. </w:t>
      </w:r>
    </w:p>
    <w:p w14:paraId="66028799" w14:textId="77777777" w:rsidR="003E6DA3" w:rsidRPr="00D13A71" w:rsidRDefault="003E6DA3" w:rsidP="003E6DA3">
      <w:pPr>
        <w:pStyle w:val="ListParagraph"/>
        <w:rPr>
          <w:rFonts w:ascii="Times New Roman" w:hAnsi="Times New Roman"/>
          <w:sz w:val="22"/>
          <w:szCs w:val="22"/>
        </w:rPr>
      </w:pPr>
    </w:p>
    <w:p w14:paraId="0A18D379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detention review forms are available on the </w:t>
      </w:r>
      <w:r>
        <w:rPr>
          <w:rFonts w:ascii="Times New Roman" w:hAnsi="Times New Roman"/>
          <w:sz w:val="22"/>
          <w:szCs w:val="22"/>
        </w:rPr>
        <w:t>c</w:t>
      </w:r>
      <w:r w:rsidRPr="00886BC7">
        <w:rPr>
          <w:rFonts w:ascii="Times New Roman" w:hAnsi="Times New Roman"/>
          <w:sz w:val="22"/>
          <w:szCs w:val="22"/>
        </w:rPr>
        <w:t>ourt</w:t>
      </w:r>
      <w:r>
        <w:rPr>
          <w:rFonts w:ascii="Times New Roman" w:hAnsi="Times New Roman"/>
          <w:sz w:val="22"/>
          <w:szCs w:val="22"/>
        </w:rPr>
        <w:t>’s</w:t>
      </w:r>
      <w:r w:rsidRPr="00886BC7">
        <w:rPr>
          <w:rFonts w:ascii="Times New Roman" w:hAnsi="Times New Roman"/>
          <w:sz w:val="22"/>
          <w:szCs w:val="22"/>
        </w:rPr>
        <w:t xml:space="preserve"> website at </w:t>
      </w:r>
      <w:hyperlink r:id="rId7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AD6D23">
        <w:rPr>
          <w:rFonts w:ascii="Times New Roman" w:hAnsi="Times New Roman"/>
          <w:sz w:val="22"/>
          <w:szCs w:val="22"/>
        </w:rPr>
        <w:t>,</w:t>
      </w:r>
      <w:r w:rsidRPr="00886BC7">
        <w:rPr>
          <w:rFonts w:ascii="Times New Roman" w:hAnsi="Times New Roman"/>
          <w:sz w:val="22"/>
          <w:szCs w:val="22"/>
        </w:rPr>
        <w:t xml:space="preserve"> and the forms may also be requested from the trial coordinator, or other designated person.</w:t>
      </w:r>
    </w:p>
    <w:p w14:paraId="75758918" w14:textId="77777777" w:rsidR="003E6DA3" w:rsidRPr="00886BC7" w:rsidRDefault="003E6DA3" w:rsidP="003E6DA3">
      <w:pPr>
        <w:pStyle w:val="ListParagraph"/>
        <w:widowControl/>
        <w:autoSpaceDE/>
        <w:autoSpaceDN/>
        <w:adjustRightInd/>
        <w:spacing w:after="160" w:line="276" w:lineRule="auto"/>
        <w:ind w:left="1440"/>
        <w:rPr>
          <w:rFonts w:ascii="Times New Roman" w:hAnsi="Times New Roman"/>
          <w:sz w:val="22"/>
          <w:szCs w:val="22"/>
        </w:rPr>
      </w:pPr>
    </w:p>
    <w:p w14:paraId="39194A24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1A3E1AA0" w14:textId="77777777" w:rsidR="003E6DA3" w:rsidRPr="00D13A71" w:rsidRDefault="003E6DA3" w:rsidP="003E6DA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Procedure</w:t>
      </w:r>
    </w:p>
    <w:p w14:paraId="5B9033E8" w14:textId="77777777" w:rsidR="003E6DA3" w:rsidRDefault="003E6DA3" w:rsidP="003E6DA3">
      <w:pPr>
        <w:pStyle w:val="ListParagraph"/>
        <w:widowControl/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</w:p>
    <w:p w14:paraId="46242592" w14:textId="77777777" w:rsidR="003E6DA3" w:rsidRPr="00274982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First, the Provincial Correctional Centre, having </w:t>
      </w:r>
      <w:proofErr w:type="gramStart"/>
      <w:r w:rsidRPr="00886BC7">
        <w:rPr>
          <w:rFonts w:ascii="Times New Roman" w:hAnsi="Times New Roman"/>
          <w:sz w:val="22"/>
          <w:szCs w:val="22"/>
        </w:rPr>
        <w:t>the custody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of an accused, is </w:t>
      </w:r>
      <w:r>
        <w:rPr>
          <w:rFonts w:ascii="Times New Roman" w:hAnsi="Times New Roman"/>
          <w:sz w:val="22"/>
          <w:szCs w:val="22"/>
        </w:rPr>
        <w:t>requir</w:t>
      </w:r>
      <w:r w:rsidRPr="00886BC7">
        <w:rPr>
          <w:rFonts w:ascii="Times New Roman" w:hAnsi="Times New Roman"/>
          <w:sz w:val="22"/>
          <w:szCs w:val="22"/>
        </w:rPr>
        <w:t>ed to advise the court of any accused person for which s. 525 applies, namely:</w:t>
      </w:r>
    </w:p>
    <w:p w14:paraId="73C22728" w14:textId="77777777" w:rsidR="003E6DA3" w:rsidRPr="00886BC7" w:rsidRDefault="003E6DA3" w:rsidP="003E6DA3">
      <w:pPr>
        <w:spacing w:line="276" w:lineRule="auto"/>
        <w:ind w:left="1440" w:right="72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>525 (1) … if the trial has not commenced within 90 days from</w:t>
      </w:r>
    </w:p>
    <w:p w14:paraId="7A65108E" w14:textId="77777777" w:rsidR="003E6DA3" w:rsidRPr="00886BC7" w:rsidRDefault="003E6DA3" w:rsidP="003E6DA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1800" w:right="720" w:firstLine="0"/>
        <w:contextualSpacing w:val="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 xml:space="preserve">the day </w:t>
      </w:r>
      <w:proofErr w:type="gramStart"/>
      <w:r w:rsidRPr="00886BC7">
        <w:rPr>
          <w:rFonts w:ascii="Times New Roman" w:hAnsi="Times New Roman"/>
          <w:i/>
          <w:iCs/>
          <w:sz w:val="22"/>
          <w:szCs w:val="22"/>
        </w:rPr>
        <w:t>in</w:t>
      </w:r>
      <w:proofErr w:type="gramEnd"/>
      <w:r w:rsidRPr="00886BC7">
        <w:rPr>
          <w:rFonts w:ascii="Times New Roman" w:hAnsi="Times New Roman"/>
          <w:i/>
          <w:iCs/>
          <w:sz w:val="22"/>
          <w:szCs w:val="22"/>
        </w:rPr>
        <w:t xml:space="preserve"> which the accused was taken before a justice under section 503; or</w:t>
      </w:r>
    </w:p>
    <w:p w14:paraId="12390E80" w14:textId="77777777" w:rsidR="003E6DA3" w:rsidRPr="00886BC7" w:rsidRDefault="003E6DA3" w:rsidP="003E6DA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ind w:left="1800" w:right="720" w:firstLine="0"/>
        <w:contextualSpacing w:val="0"/>
        <w:rPr>
          <w:rFonts w:ascii="Times New Roman" w:hAnsi="Times New Roman"/>
          <w:i/>
          <w:iCs/>
          <w:sz w:val="22"/>
          <w:szCs w:val="22"/>
        </w:rPr>
      </w:pPr>
      <w:r w:rsidRPr="00886BC7">
        <w:rPr>
          <w:rFonts w:ascii="Times New Roman" w:hAnsi="Times New Roman"/>
          <w:i/>
          <w:iCs/>
          <w:sz w:val="22"/>
          <w:szCs w:val="22"/>
        </w:rPr>
        <w:t>in the case where an order that the accused be detained in custody has been made under section 521, paragraph 523.1(3)(b)(ii) or section 524, or a decision has been made with respect to a review under section 520, the later of the day on which the accused was taken into custody under that order and the day of the decision.</w:t>
      </w:r>
    </w:p>
    <w:p w14:paraId="31EE022B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>The Provincial Correctional Centre completes and provides to the court Form 1 – Application for Detention Review.  The application for detention review is to include a copy of the documentation re</w:t>
      </w:r>
      <w:r>
        <w:rPr>
          <w:rFonts w:ascii="Times New Roman" w:hAnsi="Times New Roman"/>
          <w:sz w:val="22"/>
          <w:szCs w:val="22"/>
        </w:rPr>
        <w:t>gard</w:t>
      </w:r>
      <w:r w:rsidRPr="00886BC7">
        <w:rPr>
          <w:rFonts w:ascii="Times New Roman" w:hAnsi="Times New Roman"/>
          <w:sz w:val="22"/>
          <w:szCs w:val="22"/>
        </w:rPr>
        <w:t>ing the accused’s initial remand and any subsequent documentation addressing the accused’s remand status.</w:t>
      </w:r>
    </w:p>
    <w:p w14:paraId="12D5F1E8" w14:textId="77777777" w:rsidR="003E6DA3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34AE134B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1526FF10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lastRenderedPageBreak/>
        <w:t xml:space="preserve">Upon receipt of the application for detention review, the court communicates with the Crown, </w:t>
      </w:r>
      <w:proofErr w:type="spellStart"/>
      <w:r w:rsidRPr="00886BC7">
        <w:rPr>
          <w:rFonts w:ascii="Times New Roman" w:hAnsi="Times New Roman"/>
          <w:sz w:val="22"/>
          <w:szCs w:val="22"/>
        </w:rPr>
        <w:t>defence</w:t>
      </w:r>
      <w:proofErr w:type="spellEnd"/>
      <w:r w:rsidRPr="00886BC7">
        <w:rPr>
          <w:rFonts w:ascii="Times New Roman" w:hAnsi="Times New Roman"/>
          <w:sz w:val="22"/>
          <w:szCs w:val="22"/>
        </w:rPr>
        <w:t xml:space="preserve"> counsel, and the Provincial Correctional Centre and provides Form 2 – Detention Review Waiver Form.  The accused (or </w:t>
      </w:r>
      <w:proofErr w:type="spellStart"/>
      <w:r w:rsidRPr="00886BC7">
        <w:rPr>
          <w:rFonts w:ascii="Times New Roman" w:hAnsi="Times New Roman"/>
          <w:sz w:val="22"/>
          <w:szCs w:val="22"/>
        </w:rPr>
        <w:t>defence</w:t>
      </w:r>
      <w:proofErr w:type="spellEnd"/>
      <w:r w:rsidRPr="00886BC7">
        <w:rPr>
          <w:rFonts w:ascii="Times New Roman" w:hAnsi="Times New Roman"/>
          <w:sz w:val="22"/>
          <w:szCs w:val="22"/>
        </w:rPr>
        <w:t xml:space="preserve"> counsel on behalf of the accused) indicates on the waiver form whether the accused does, or does not, oppose the accused’s continued detention. When the accused is </w:t>
      </w:r>
      <w:r w:rsidRPr="00A823D6">
        <w:rPr>
          <w:rFonts w:ascii="Times New Roman" w:hAnsi="Times New Roman"/>
          <w:sz w:val="22"/>
          <w:szCs w:val="22"/>
        </w:rPr>
        <w:t>self-represent</w:t>
      </w:r>
      <w:r w:rsidRPr="00886BC7">
        <w:rPr>
          <w:rFonts w:ascii="Times New Roman" w:hAnsi="Times New Roman"/>
          <w:sz w:val="22"/>
          <w:szCs w:val="22"/>
        </w:rPr>
        <w:t>ed</w:t>
      </w:r>
      <w:r w:rsidRPr="00A823D6">
        <w:rPr>
          <w:rFonts w:ascii="Times New Roman" w:hAnsi="Times New Roman"/>
          <w:sz w:val="22"/>
          <w:szCs w:val="22"/>
        </w:rPr>
        <w:t xml:space="preserve">, </w:t>
      </w:r>
      <w:r w:rsidRPr="00886BC7">
        <w:rPr>
          <w:rFonts w:ascii="Times New Roman" w:hAnsi="Times New Roman"/>
          <w:sz w:val="22"/>
          <w:szCs w:val="22"/>
        </w:rPr>
        <w:t xml:space="preserve">the Provincial Correctional Centre facilitates having the accused complete Form 2.  </w:t>
      </w:r>
    </w:p>
    <w:p w14:paraId="1413C1FC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5505AABA" w14:textId="77777777" w:rsidR="003E6DA3" w:rsidRPr="00BB3A1A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BB3A1A">
        <w:rPr>
          <w:rFonts w:ascii="Times New Roman" w:hAnsi="Times New Roman"/>
          <w:sz w:val="22"/>
          <w:szCs w:val="22"/>
        </w:rPr>
        <w:t>If an accused opposes the accused’s continued detention, the court then requests a transcript of the show cause hearing be prepared by the Provincial Court, if one was held under s. 515 of the</w:t>
      </w:r>
      <w:r w:rsidRPr="00BB3A1A">
        <w:rPr>
          <w:rFonts w:ascii="Times New Roman" w:hAnsi="Times New Roman"/>
          <w:i/>
          <w:iCs/>
          <w:sz w:val="22"/>
          <w:szCs w:val="22"/>
        </w:rPr>
        <w:t xml:space="preserve"> Code</w:t>
      </w:r>
      <w:r w:rsidRPr="00BB3A1A">
        <w:rPr>
          <w:rFonts w:ascii="Times New Roman" w:hAnsi="Times New Roman"/>
          <w:sz w:val="22"/>
          <w:szCs w:val="22"/>
        </w:rPr>
        <w:t xml:space="preserve">.  Upon receipt of the transcript, the court schedules the s. 525 hearing.  If there is no transcript (for example if the accused is on </w:t>
      </w:r>
      <w:proofErr w:type="gramStart"/>
      <w:r w:rsidRPr="00BB3A1A">
        <w:rPr>
          <w:rFonts w:ascii="Times New Roman" w:hAnsi="Times New Roman"/>
          <w:sz w:val="22"/>
          <w:szCs w:val="22"/>
        </w:rPr>
        <w:t>remand</w:t>
      </w:r>
      <w:proofErr w:type="gramEnd"/>
      <w:r w:rsidRPr="00BB3A1A">
        <w:rPr>
          <w:rFonts w:ascii="Times New Roman" w:hAnsi="Times New Roman"/>
          <w:sz w:val="22"/>
          <w:szCs w:val="22"/>
        </w:rPr>
        <w:t xml:space="preserve"> by consent) the court proceeds with scheduling the s. 525 hearing. </w:t>
      </w:r>
    </w:p>
    <w:p w14:paraId="557374AA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494F8875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court then completes and provides Form 3 – Notice of Detention Review Hearing and provides the notice to the Crown, </w:t>
      </w:r>
      <w:proofErr w:type="spellStart"/>
      <w:r w:rsidRPr="00886BC7">
        <w:rPr>
          <w:rFonts w:ascii="Times New Roman" w:hAnsi="Times New Roman"/>
          <w:sz w:val="22"/>
          <w:szCs w:val="22"/>
        </w:rPr>
        <w:t>defence</w:t>
      </w:r>
      <w:proofErr w:type="spellEnd"/>
      <w:r w:rsidRPr="00886BC7">
        <w:rPr>
          <w:rFonts w:ascii="Times New Roman" w:hAnsi="Times New Roman"/>
          <w:sz w:val="22"/>
          <w:szCs w:val="22"/>
        </w:rPr>
        <w:t xml:space="preserve"> counsel (if applicable) and the Provincial Correctional Centre, and the Provincial Correctional Centre provide</w:t>
      </w:r>
      <w:r>
        <w:rPr>
          <w:rFonts w:ascii="Times New Roman" w:hAnsi="Times New Roman"/>
          <w:sz w:val="22"/>
          <w:szCs w:val="22"/>
        </w:rPr>
        <w:t>s</w:t>
      </w:r>
      <w:r w:rsidRPr="00886BC7">
        <w:rPr>
          <w:rFonts w:ascii="Times New Roman" w:hAnsi="Times New Roman"/>
          <w:sz w:val="22"/>
          <w:szCs w:val="22"/>
        </w:rPr>
        <w:t xml:space="preserve"> the completed Form 3 to the accused.</w:t>
      </w:r>
    </w:p>
    <w:p w14:paraId="0B32BD29" w14:textId="77777777" w:rsidR="003E6DA3" w:rsidRPr="00886BC7" w:rsidRDefault="003E6DA3" w:rsidP="003E6DA3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348F7A67" w14:textId="77777777" w:rsidR="003E6DA3" w:rsidRPr="00886BC7" w:rsidRDefault="003E6DA3" w:rsidP="003E6DA3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Finally, the Crown is obligated to complete and provide Form 4 – Detention Review Information, which is to be provided to </w:t>
      </w:r>
      <w:proofErr w:type="spellStart"/>
      <w:r w:rsidRPr="00886BC7">
        <w:rPr>
          <w:rFonts w:ascii="Times New Roman" w:hAnsi="Times New Roman"/>
          <w:sz w:val="22"/>
          <w:szCs w:val="22"/>
        </w:rPr>
        <w:t>defence</w:t>
      </w:r>
      <w:proofErr w:type="spellEnd"/>
      <w:r w:rsidRPr="00886BC7">
        <w:rPr>
          <w:rFonts w:ascii="Times New Roman" w:hAnsi="Times New Roman"/>
          <w:sz w:val="22"/>
          <w:szCs w:val="22"/>
        </w:rPr>
        <w:t xml:space="preserve"> counsel (if applicable), or the accused if they are self-represent</w:t>
      </w:r>
      <w:r>
        <w:rPr>
          <w:rFonts w:ascii="Times New Roman" w:hAnsi="Times New Roman"/>
          <w:sz w:val="22"/>
          <w:szCs w:val="22"/>
        </w:rPr>
        <w:t>ed</w:t>
      </w:r>
      <w:r w:rsidRPr="00886BC7">
        <w:rPr>
          <w:rFonts w:ascii="Times New Roman" w:hAnsi="Times New Roman"/>
          <w:sz w:val="22"/>
          <w:szCs w:val="22"/>
        </w:rPr>
        <w:t xml:space="preserve"> (via the Provincial Correctional Centre)</w:t>
      </w:r>
      <w:r>
        <w:rPr>
          <w:rFonts w:ascii="Times New Roman" w:hAnsi="Times New Roman"/>
          <w:sz w:val="22"/>
          <w:szCs w:val="22"/>
        </w:rPr>
        <w:t>. The completed Form 4 is to be</w:t>
      </w:r>
      <w:r w:rsidRPr="00886BC7">
        <w:rPr>
          <w:rFonts w:ascii="Times New Roman" w:hAnsi="Times New Roman"/>
          <w:sz w:val="22"/>
          <w:szCs w:val="22"/>
        </w:rPr>
        <w:t xml:space="preserve"> filed with the court at least four days prior to the scheduled s. 525 hearing. </w:t>
      </w:r>
    </w:p>
    <w:bookmarkEnd w:id="1"/>
    <w:p w14:paraId="10095E6D" w14:textId="77777777" w:rsidR="00ED1BFF" w:rsidRDefault="00ED1BFF"/>
    <w:sectPr w:rsidR="00ED1B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5FB3" w14:textId="77777777" w:rsidR="00675EAB" w:rsidRDefault="00675EAB" w:rsidP="00675EAB">
      <w:r>
        <w:separator/>
      </w:r>
    </w:p>
  </w:endnote>
  <w:endnote w:type="continuationSeparator" w:id="0">
    <w:p w14:paraId="1FD9E156" w14:textId="77777777" w:rsidR="00675EAB" w:rsidRDefault="00675EAB" w:rsidP="0067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3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B77FB" w14:textId="2260A0A9" w:rsidR="00675EAB" w:rsidRDefault="00675E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17AE0" w14:textId="77777777" w:rsidR="00675EAB" w:rsidRDefault="0067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41D5" w14:textId="77777777" w:rsidR="00675EAB" w:rsidRDefault="00675EAB" w:rsidP="00675EAB">
      <w:r>
        <w:separator/>
      </w:r>
    </w:p>
  </w:footnote>
  <w:footnote w:type="continuationSeparator" w:id="0">
    <w:p w14:paraId="18C419C6" w14:textId="77777777" w:rsidR="00675EAB" w:rsidRDefault="00675EAB" w:rsidP="0067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D6B9C"/>
    <w:multiLevelType w:val="hybridMultilevel"/>
    <w:tmpl w:val="50F8A7FE"/>
    <w:lvl w:ilvl="0" w:tplc="4E06C64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54C47"/>
    <w:multiLevelType w:val="hybridMultilevel"/>
    <w:tmpl w:val="039E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22804">
    <w:abstractNumId w:val="0"/>
  </w:num>
  <w:num w:numId="2" w16cid:durableId="102737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A3"/>
    <w:rsid w:val="000824AF"/>
    <w:rsid w:val="003E4C92"/>
    <w:rsid w:val="003E6DA3"/>
    <w:rsid w:val="00424F8B"/>
    <w:rsid w:val="004B03A6"/>
    <w:rsid w:val="004C60FA"/>
    <w:rsid w:val="00675EAB"/>
    <w:rsid w:val="008D7D56"/>
    <w:rsid w:val="009230C7"/>
    <w:rsid w:val="00B42811"/>
    <w:rsid w:val="00D62ABD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7C97"/>
  <w15:chartTrackingRefBased/>
  <w15:docId w15:val="{F76397CF-4FBE-490F-A3EA-89EC55E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A3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6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D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D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E6DA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6DA3"/>
    <w:rPr>
      <w:color w:val="467886" w:themeColor="hyperlink"/>
      <w:u w:val="single"/>
    </w:rPr>
  </w:style>
  <w:style w:type="character" w:customStyle="1" w:styleId="cf01">
    <w:name w:val="cf01"/>
    <w:basedOn w:val="DefaultParagraphFont"/>
    <w:rsid w:val="003E6D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E6DA3"/>
    <w:rPr>
      <w:rFonts w:ascii="Segoe UI" w:hAnsi="Segoe UI" w:cs="Segoe UI" w:hint="default"/>
      <w:b/>
      <w:bCs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AB"/>
    <w:rPr>
      <w:rFonts w:ascii="CG Omega" w:eastAsia="Times New Roman" w:hAnsi="CG Omega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5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AB"/>
    <w:rPr>
      <w:rFonts w:ascii="CG Omega" w:eastAsia="Times New Roman" w:hAnsi="CG Omega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p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ITSS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Karen Rose</cp:lastModifiedBy>
  <cp:revision>2</cp:revision>
  <dcterms:created xsi:type="dcterms:W3CDTF">2025-08-25T14:29:00Z</dcterms:created>
  <dcterms:modified xsi:type="dcterms:W3CDTF">2025-08-25T16:43:00Z</dcterms:modified>
</cp:coreProperties>
</file>