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C671" w14:textId="77777777" w:rsidR="00E85E5B" w:rsidRPr="00D0360D" w:rsidRDefault="00E85E5B" w:rsidP="00E85E5B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00976332"/>
      <w:r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FD56CD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4C4496">
        <w:rPr>
          <w:rFonts w:ascii="Times New Roman" w:hAnsi="Times New Roman"/>
          <w:b/>
          <w:bCs/>
          <w:caps/>
          <w:sz w:val="22"/>
          <w:szCs w:val="22"/>
        </w:rPr>
        <w:t>DIRECTOR OF CHILD PROTECTION</w:t>
      </w:r>
    </w:p>
    <w:p w14:paraId="6295A189" w14:textId="77777777" w:rsidR="00E85E5B" w:rsidRDefault="00E85E5B" w:rsidP="00E85E5B">
      <w:pPr>
        <w:spacing w:line="276" w:lineRule="auto"/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bookmarkEnd w:id="0"/>
    <w:p w14:paraId="2162DF5C" w14:textId="77777777" w:rsidR="00E85E5B" w:rsidRPr="00886BC7" w:rsidRDefault="00E85E5B" w:rsidP="00E85E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  <w:u w:val="single"/>
        </w:rPr>
        <w:t>Scheduling</w:t>
      </w:r>
    </w:p>
    <w:p w14:paraId="691F970C" w14:textId="77777777" w:rsidR="00E85E5B" w:rsidRPr="00886BC7" w:rsidRDefault="00E85E5B" w:rsidP="00E85E5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BF2A443" w14:textId="77777777" w:rsidR="00E85E5B" w:rsidRDefault="00E85E5B" w:rsidP="00E85E5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Lawyers</w:t>
      </w:r>
      <w:r w:rsidRPr="00886BC7">
        <w:rPr>
          <w:rFonts w:ascii="Times New Roman" w:hAnsi="Times New Roman"/>
          <w:sz w:val="22"/>
          <w:szCs w:val="22"/>
        </w:rPr>
        <w:t xml:space="preserve"> and self-represented parties are reminded of the timelines set out in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67AB1">
        <w:rPr>
          <w:rFonts w:ascii="Times New Roman" w:hAnsi="Times New Roman"/>
          <w:i/>
          <w:iCs/>
          <w:sz w:val="22"/>
          <w:szCs w:val="22"/>
        </w:rPr>
        <w:t>Child</w:t>
      </w:r>
      <w:r>
        <w:rPr>
          <w:rFonts w:ascii="Times New Roman" w:hAnsi="Times New Roman"/>
          <w:i/>
          <w:iCs/>
          <w:sz w:val="22"/>
          <w:szCs w:val="22"/>
        </w:rPr>
        <w:t>,</w:t>
      </w:r>
      <w:r w:rsidRPr="00967AB1">
        <w:rPr>
          <w:rFonts w:ascii="Times New Roman" w:hAnsi="Times New Roman"/>
          <w:i/>
          <w:iCs/>
          <w:sz w:val="22"/>
          <w:szCs w:val="22"/>
        </w:rPr>
        <w:t xml:space="preserve"> Youth </w:t>
      </w:r>
      <w:r>
        <w:rPr>
          <w:rFonts w:ascii="Times New Roman" w:hAnsi="Times New Roman"/>
          <w:i/>
          <w:iCs/>
          <w:sz w:val="22"/>
          <w:szCs w:val="22"/>
        </w:rPr>
        <w:t xml:space="preserve">and </w:t>
      </w:r>
      <w:r w:rsidRPr="00967AB1">
        <w:rPr>
          <w:rFonts w:ascii="Times New Roman" w:hAnsi="Times New Roman"/>
          <w:i/>
          <w:iCs/>
          <w:sz w:val="22"/>
          <w:szCs w:val="22"/>
        </w:rPr>
        <w:t>Family Services Act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886BC7">
        <w:rPr>
          <w:rFonts w:ascii="Times New Roman" w:hAnsi="Times New Roman"/>
          <w:sz w:val="22"/>
          <w:szCs w:val="22"/>
        </w:rPr>
        <w:t>RSPEI 1988 Cap. C-6.</w:t>
      </w:r>
      <w:r>
        <w:rPr>
          <w:rFonts w:ascii="Times New Roman" w:hAnsi="Times New Roman"/>
          <w:sz w:val="22"/>
          <w:szCs w:val="22"/>
        </w:rPr>
        <w:t>0</w:t>
      </w:r>
      <w:r w:rsidRPr="00886BC7">
        <w:rPr>
          <w:rFonts w:ascii="Times New Roman" w:hAnsi="Times New Roman"/>
          <w:sz w:val="22"/>
          <w:szCs w:val="22"/>
        </w:rPr>
        <w:t>1. Given these timelines, when dates are offered by the court for child protection hearings</w:t>
      </w:r>
      <w:r>
        <w:rPr>
          <w:rFonts w:ascii="Times New Roman" w:hAnsi="Times New Roman"/>
          <w:sz w:val="22"/>
          <w:szCs w:val="22"/>
        </w:rPr>
        <w:t xml:space="preserve"> and pre-application conferences</w:t>
      </w:r>
      <w:r w:rsidRPr="00886BC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lawyers</w:t>
      </w:r>
      <w:r w:rsidRPr="00886B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self-represented parties </w:t>
      </w:r>
      <w:r w:rsidRPr="00886BC7">
        <w:rPr>
          <w:rFonts w:ascii="Times New Roman" w:hAnsi="Times New Roman"/>
          <w:sz w:val="22"/>
          <w:szCs w:val="22"/>
        </w:rPr>
        <w:t xml:space="preserve">are expected to make every possible effort to be available for the </w:t>
      </w:r>
      <w:proofErr w:type="gramStart"/>
      <w:r w:rsidRPr="00886BC7">
        <w:rPr>
          <w:rFonts w:ascii="Times New Roman" w:hAnsi="Times New Roman"/>
          <w:sz w:val="22"/>
          <w:szCs w:val="22"/>
        </w:rPr>
        <w:t>offered dates</w:t>
      </w:r>
      <w:proofErr w:type="gramEnd"/>
      <w:r w:rsidRPr="00886BC7">
        <w:rPr>
          <w:rFonts w:ascii="Times New Roman" w:hAnsi="Times New Roman"/>
          <w:sz w:val="22"/>
          <w:szCs w:val="22"/>
        </w:rPr>
        <w:t>.</w:t>
      </w:r>
    </w:p>
    <w:p w14:paraId="269496AD" w14:textId="77777777" w:rsidR="00E85E5B" w:rsidRDefault="00E85E5B" w:rsidP="00E85E5B">
      <w:pPr>
        <w:pStyle w:val="ListParagraph"/>
        <w:spacing w:line="276" w:lineRule="auto"/>
        <w:ind w:left="1440"/>
        <w:rPr>
          <w:rFonts w:ascii="Times New Roman" w:hAnsi="Times New Roman"/>
          <w:sz w:val="22"/>
          <w:szCs w:val="22"/>
        </w:rPr>
      </w:pPr>
    </w:p>
    <w:p w14:paraId="2D6539E6" w14:textId="77777777" w:rsidR="00E85E5B" w:rsidRPr="00886BC7" w:rsidRDefault="00E85E5B" w:rsidP="00E85E5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court reserves a standing weekly time slot for child protection matters, both in Charlottetown and Summerside (</w:t>
      </w:r>
      <w:proofErr w:type="spellStart"/>
      <w:r>
        <w:rPr>
          <w:rFonts w:ascii="Times New Roman" w:hAnsi="Times New Roman"/>
          <w:sz w:val="22"/>
          <w:szCs w:val="22"/>
        </w:rPr>
        <w:t>Slemon</w:t>
      </w:r>
      <w:proofErr w:type="spellEnd"/>
      <w:r>
        <w:rPr>
          <w:rFonts w:ascii="Times New Roman" w:hAnsi="Times New Roman"/>
          <w:sz w:val="22"/>
          <w:szCs w:val="22"/>
        </w:rPr>
        <w:t xml:space="preserve"> Park). As the allotted time is brief, an adjournment may be necessary in circumstances where more time is required. </w:t>
      </w:r>
    </w:p>
    <w:p w14:paraId="1F6AF83C" w14:textId="77777777" w:rsidR="00E85E5B" w:rsidRDefault="00E85E5B" w:rsidP="00E85E5B">
      <w:pPr>
        <w:tabs>
          <w:tab w:val="left" w:pos="720"/>
          <w:tab w:val="left" w:pos="1080"/>
          <w:tab w:val="left" w:pos="1440"/>
        </w:tabs>
        <w:spacing w:line="276" w:lineRule="auto"/>
        <w:ind w:left="360"/>
        <w:rPr>
          <w:rFonts w:ascii="Times New Roman" w:hAnsi="Times New Roman"/>
          <w:bCs/>
          <w:sz w:val="22"/>
          <w:szCs w:val="22"/>
          <w:u w:val="single"/>
        </w:rPr>
      </w:pPr>
    </w:p>
    <w:p w14:paraId="65C1DACE" w14:textId="77777777" w:rsidR="00E85E5B" w:rsidRPr="00886BC7" w:rsidRDefault="00E85E5B" w:rsidP="00E85E5B">
      <w:pPr>
        <w:tabs>
          <w:tab w:val="left" w:pos="720"/>
          <w:tab w:val="left" w:pos="1080"/>
          <w:tab w:val="left" w:pos="1440"/>
        </w:tabs>
        <w:spacing w:line="276" w:lineRule="auto"/>
        <w:ind w:left="360"/>
        <w:rPr>
          <w:rFonts w:ascii="Times New Roman" w:hAnsi="Times New Roman"/>
          <w:bCs/>
          <w:sz w:val="22"/>
          <w:szCs w:val="22"/>
          <w:u w:val="single"/>
        </w:rPr>
      </w:pPr>
    </w:p>
    <w:p w14:paraId="58F3F5D7" w14:textId="77777777" w:rsidR="00E85E5B" w:rsidRPr="00886BC7" w:rsidRDefault="00E85E5B" w:rsidP="00E85E5B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line="276" w:lineRule="auto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bCs/>
          <w:sz w:val="22"/>
          <w:szCs w:val="22"/>
          <w:u w:val="single"/>
        </w:rPr>
        <w:t>Pre-Application Conference</w:t>
      </w:r>
    </w:p>
    <w:p w14:paraId="222B0D41" w14:textId="77777777" w:rsidR="00E85E5B" w:rsidRPr="00886BC7" w:rsidRDefault="00E85E5B" w:rsidP="00E85E5B">
      <w:pPr>
        <w:pStyle w:val="ListParagraph"/>
        <w:tabs>
          <w:tab w:val="left" w:pos="720"/>
          <w:tab w:val="left" w:pos="1080"/>
          <w:tab w:val="left" w:pos="1440"/>
        </w:tabs>
        <w:spacing w:line="276" w:lineRule="auto"/>
        <w:rPr>
          <w:rFonts w:ascii="Times New Roman" w:hAnsi="Times New Roman"/>
          <w:bCs/>
          <w:sz w:val="22"/>
          <w:szCs w:val="22"/>
          <w:u w:val="single"/>
        </w:rPr>
      </w:pPr>
    </w:p>
    <w:p w14:paraId="68A8296A" w14:textId="77777777" w:rsidR="00E85E5B" w:rsidRPr="002A35E7" w:rsidRDefault="00E85E5B" w:rsidP="00E85E5B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spacing w:line="276" w:lineRule="auto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</w:rPr>
        <w:t xml:space="preserve">Where the court authorizes a pre-application conference, the parties are to file a pre-application conference memorandum, </w:t>
      </w:r>
      <w:r>
        <w:rPr>
          <w:rFonts w:ascii="Times New Roman" w:hAnsi="Times New Roman"/>
          <w:sz w:val="22"/>
          <w:szCs w:val="22"/>
        </w:rPr>
        <w:t>available</w:t>
      </w:r>
      <w:r w:rsidRPr="00886BC7">
        <w:rPr>
          <w:rFonts w:ascii="Times New Roman" w:hAnsi="Times New Roman"/>
          <w:sz w:val="22"/>
          <w:szCs w:val="22"/>
        </w:rPr>
        <w:t xml:space="preserve"> on the court</w:t>
      </w:r>
      <w:r>
        <w:rPr>
          <w:rFonts w:ascii="Times New Roman" w:hAnsi="Times New Roman"/>
          <w:sz w:val="22"/>
          <w:szCs w:val="22"/>
        </w:rPr>
        <w:t>’</w:t>
      </w:r>
      <w:r w:rsidRPr="00886BC7">
        <w:rPr>
          <w:rFonts w:ascii="Times New Roman" w:hAnsi="Times New Roman"/>
          <w:sz w:val="22"/>
          <w:szCs w:val="22"/>
        </w:rPr>
        <w:t xml:space="preserve">s website at </w:t>
      </w:r>
      <w:hyperlink r:id="rId5" w:history="1">
        <w:r w:rsidRPr="00845E79">
          <w:rPr>
            <w:rStyle w:val="Hyperlink"/>
            <w:rFonts w:ascii="Times New Roman" w:hAnsi="Times New Roman"/>
            <w:i/>
            <w:iCs/>
            <w:sz w:val="22"/>
            <w:szCs w:val="22"/>
          </w:rPr>
          <w:t>www.courts.pe.ca</w:t>
        </w:r>
      </w:hyperlink>
      <w:r w:rsidRPr="00845E79">
        <w:rPr>
          <w:rFonts w:ascii="Times New Roman" w:hAnsi="Times New Roman"/>
          <w:sz w:val="22"/>
          <w:szCs w:val="22"/>
        </w:rPr>
        <w:t>.</w:t>
      </w:r>
    </w:p>
    <w:p w14:paraId="1649A732" w14:textId="77777777" w:rsidR="00E85E5B" w:rsidRPr="002A35E7" w:rsidRDefault="00E85E5B" w:rsidP="00E85E5B">
      <w:pPr>
        <w:pStyle w:val="ListParagraph"/>
        <w:tabs>
          <w:tab w:val="left" w:pos="720"/>
          <w:tab w:val="left" w:pos="1080"/>
          <w:tab w:val="left" w:pos="1440"/>
        </w:tabs>
        <w:spacing w:line="276" w:lineRule="auto"/>
        <w:ind w:left="1440"/>
        <w:rPr>
          <w:rFonts w:ascii="Times New Roman" w:hAnsi="Times New Roman"/>
          <w:bCs/>
          <w:sz w:val="22"/>
          <w:szCs w:val="22"/>
          <w:u w:val="single"/>
        </w:rPr>
      </w:pPr>
    </w:p>
    <w:p w14:paraId="229FDAEB" w14:textId="77777777" w:rsidR="00E85E5B" w:rsidRPr="00886BC7" w:rsidRDefault="00E85E5B" w:rsidP="00E85E5B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spacing w:line="276" w:lineRule="auto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The pre-application conference memorandum is to be filed, with proof of service, </w:t>
      </w:r>
      <w:r w:rsidRPr="00886BC7">
        <w:rPr>
          <w:rFonts w:ascii="Times New Roman" w:hAnsi="Times New Roman"/>
          <w:sz w:val="22"/>
          <w:szCs w:val="22"/>
        </w:rPr>
        <w:t xml:space="preserve">at least seven days before the date set for the pre-application conference. </w:t>
      </w:r>
    </w:p>
    <w:p w14:paraId="699E3439" w14:textId="77777777" w:rsidR="00E85E5B" w:rsidRPr="00886BC7" w:rsidRDefault="00E85E5B" w:rsidP="00E85E5B">
      <w:pPr>
        <w:pStyle w:val="ListParagraph"/>
        <w:tabs>
          <w:tab w:val="left" w:pos="720"/>
          <w:tab w:val="left" w:pos="1080"/>
          <w:tab w:val="left" w:pos="1440"/>
        </w:tabs>
        <w:spacing w:line="276" w:lineRule="auto"/>
        <w:ind w:left="1440"/>
        <w:rPr>
          <w:rFonts w:ascii="Times New Roman" w:hAnsi="Times New Roman"/>
          <w:bCs/>
          <w:sz w:val="22"/>
          <w:szCs w:val="22"/>
          <w:u w:val="single"/>
        </w:rPr>
      </w:pPr>
    </w:p>
    <w:p w14:paraId="75465A27" w14:textId="77777777" w:rsidR="00E85E5B" w:rsidRPr="002A35E7" w:rsidRDefault="00E85E5B" w:rsidP="00E85E5B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spacing w:line="276" w:lineRule="auto"/>
        <w:rPr>
          <w:rFonts w:ascii="Times New Roman" w:hAnsi="Times New Roman"/>
          <w:bCs/>
          <w:sz w:val="22"/>
          <w:szCs w:val="22"/>
          <w:u w:val="single"/>
        </w:rPr>
      </w:pPr>
      <w:r w:rsidRPr="00BB3A1A">
        <w:rPr>
          <w:rFonts w:ascii="Times New Roman" w:hAnsi="Times New Roman"/>
          <w:sz w:val="22"/>
          <w:szCs w:val="22"/>
        </w:rPr>
        <w:t xml:space="preserve">Where the Director of Child Protection (the “Director”) seeks a permanent order, the court, on its own initiative, generally schedules a pre-application conference. Lawyers and self-represented parties are expected to be </w:t>
      </w:r>
      <w:proofErr w:type="gramStart"/>
      <w:r w:rsidRPr="00BB3A1A">
        <w:rPr>
          <w:rFonts w:ascii="Times New Roman" w:hAnsi="Times New Roman"/>
          <w:sz w:val="22"/>
          <w:szCs w:val="22"/>
        </w:rPr>
        <w:t>in a position</w:t>
      </w:r>
      <w:proofErr w:type="gramEnd"/>
      <w:r w:rsidRPr="00BB3A1A">
        <w:rPr>
          <w:rFonts w:ascii="Times New Roman" w:hAnsi="Times New Roman"/>
          <w:sz w:val="22"/>
          <w:szCs w:val="22"/>
        </w:rPr>
        <w:t xml:space="preserve"> to address hearing-related matters, including those matters set out in the pre-application</w:t>
      </w:r>
      <w:r>
        <w:rPr>
          <w:rFonts w:ascii="Times New Roman" w:hAnsi="Times New Roman"/>
          <w:sz w:val="22"/>
          <w:szCs w:val="22"/>
        </w:rPr>
        <w:t xml:space="preserve"> conference memorandum form</w:t>
      </w:r>
      <w:r w:rsidRPr="00886BC7">
        <w:rPr>
          <w:rFonts w:ascii="Times New Roman" w:hAnsi="Times New Roman"/>
          <w:sz w:val="22"/>
          <w:szCs w:val="22"/>
        </w:rPr>
        <w:t>.</w:t>
      </w:r>
    </w:p>
    <w:p w14:paraId="26FD7624" w14:textId="77777777" w:rsidR="00E85E5B" w:rsidRPr="002A35E7" w:rsidRDefault="00E85E5B" w:rsidP="00E85E5B">
      <w:pPr>
        <w:pStyle w:val="ListParagraph"/>
        <w:rPr>
          <w:rFonts w:ascii="Times New Roman" w:hAnsi="Times New Roman"/>
          <w:sz w:val="22"/>
          <w:szCs w:val="22"/>
        </w:rPr>
      </w:pPr>
    </w:p>
    <w:p w14:paraId="64AA132D" w14:textId="77777777" w:rsidR="00E85E5B" w:rsidRPr="00886BC7" w:rsidRDefault="00E85E5B" w:rsidP="00E85E5B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spacing w:line="276" w:lineRule="auto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If a party views a pre-application conference </w:t>
      </w:r>
      <w:proofErr w:type="gramStart"/>
      <w:r>
        <w:rPr>
          <w:rFonts w:ascii="Times New Roman" w:hAnsi="Times New Roman"/>
          <w:sz w:val="22"/>
          <w:szCs w:val="22"/>
        </w:rPr>
        <w:t>would be</w:t>
      </w:r>
      <w:proofErr w:type="gramEnd"/>
      <w:r>
        <w:rPr>
          <w:rFonts w:ascii="Times New Roman" w:hAnsi="Times New Roman"/>
          <w:sz w:val="22"/>
          <w:szCs w:val="22"/>
        </w:rPr>
        <w:t xml:space="preserve"> worthwhile even </w:t>
      </w:r>
      <w:r w:rsidRPr="00E651A2">
        <w:rPr>
          <w:rFonts w:ascii="Times New Roman" w:hAnsi="Times New Roman"/>
          <w:sz w:val="22"/>
          <w:szCs w:val="22"/>
        </w:rPr>
        <w:t>where the</w:t>
      </w:r>
      <w:r>
        <w:rPr>
          <w:rFonts w:ascii="Times New Roman" w:hAnsi="Times New Roman"/>
          <w:sz w:val="22"/>
          <w:szCs w:val="22"/>
        </w:rPr>
        <w:t xml:space="preserve"> Director is not seeking permanent relief, the party may make the request to the trial </w:t>
      </w:r>
      <w:proofErr w:type="gramStart"/>
      <w:r>
        <w:rPr>
          <w:rFonts w:ascii="Times New Roman" w:hAnsi="Times New Roman"/>
          <w:sz w:val="22"/>
          <w:szCs w:val="22"/>
        </w:rPr>
        <w:t>coordinator</w:t>
      </w:r>
      <w:proofErr w:type="gramEnd"/>
      <w:r>
        <w:rPr>
          <w:rFonts w:ascii="Times New Roman" w:hAnsi="Times New Roman"/>
          <w:sz w:val="22"/>
          <w:szCs w:val="22"/>
        </w:rPr>
        <w:t xml:space="preserve"> and the court will provide </w:t>
      </w:r>
      <w:proofErr w:type="gramStart"/>
      <w:r>
        <w:rPr>
          <w:rFonts w:ascii="Times New Roman" w:hAnsi="Times New Roman"/>
          <w:sz w:val="22"/>
          <w:szCs w:val="22"/>
        </w:rPr>
        <w:t>direction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 w:rsidRPr="00886BC7">
        <w:rPr>
          <w:rFonts w:ascii="Times New Roman" w:hAnsi="Times New Roman"/>
          <w:sz w:val="22"/>
          <w:szCs w:val="22"/>
        </w:rPr>
        <w:t xml:space="preserve">  </w:t>
      </w:r>
    </w:p>
    <w:p w14:paraId="6BAE85DA" w14:textId="77777777" w:rsidR="00E85E5B" w:rsidRPr="00886BC7" w:rsidRDefault="00E85E5B" w:rsidP="00E85E5B">
      <w:pPr>
        <w:pStyle w:val="ListParagraph"/>
        <w:rPr>
          <w:rFonts w:ascii="Times New Roman" w:hAnsi="Times New Roman"/>
          <w:sz w:val="22"/>
          <w:szCs w:val="22"/>
        </w:rPr>
      </w:pPr>
    </w:p>
    <w:p w14:paraId="2151FA9A" w14:textId="77777777" w:rsidR="00E85E5B" w:rsidRPr="00886BC7" w:rsidRDefault="00E85E5B" w:rsidP="00E85E5B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440"/>
        </w:tabs>
        <w:spacing w:line="276" w:lineRule="auto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</w:rPr>
        <w:t>On occasion, the parties may also be interested in the court facilitating a resolution conference, with a view to resolving the matter in the absence of a contested hearing. Requests for a resolution conference may be made to the trial coordinator.</w:t>
      </w:r>
    </w:p>
    <w:p w14:paraId="5C43423B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A4946"/>
    <w:multiLevelType w:val="hybridMultilevel"/>
    <w:tmpl w:val="1256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4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5B"/>
    <w:rsid w:val="000824AF"/>
    <w:rsid w:val="003E4C92"/>
    <w:rsid w:val="00424F8B"/>
    <w:rsid w:val="004B03A6"/>
    <w:rsid w:val="004C60FA"/>
    <w:rsid w:val="008D7D56"/>
    <w:rsid w:val="009230C7"/>
    <w:rsid w:val="00B42811"/>
    <w:rsid w:val="00E85E5B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8270"/>
  <w15:chartTrackingRefBased/>
  <w15:docId w15:val="{1D9EE761-C72A-438C-B06B-7F082AC1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5B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E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E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E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E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E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E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E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E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E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E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E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E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E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E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E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E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E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E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E5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5E5B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85E5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ts.p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ITSS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2025-08-25T13:52:00Z</dcterms:created>
  <dcterms:modified xsi:type="dcterms:W3CDTF">2025-08-25T13:52:00Z</dcterms:modified>
</cp:coreProperties>
</file>