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E5385" w14:textId="77777777" w:rsidR="00453DA0" w:rsidRPr="00D0360D" w:rsidRDefault="00453DA0" w:rsidP="00453DA0">
      <w:pPr>
        <w:pStyle w:val="Default"/>
        <w:spacing w:line="276" w:lineRule="auto"/>
        <w:ind w:left="720"/>
        <w:jc w:val="center"/>
        <w:rPr>
          <w:rFonts w:ascii="Times New Roman" w:hAnsi="Times New Roman" w:cs="Times New Roman"/>
          <w:b/>
          <w:bCs/>
          <w:sz w:val="22"/>
          <w:szCs w:val="22"/>
        </w:rPr>
      </w:pPr>
      <w:bookmarkStart w:id="0" w:name="_Hlk200976301"/>
      <w:r>
        <w:rPr>
          <w:rFonts w:ascii="Times New Roman" w:hAnsi="Times New Roman" w:cs="Times New Roman"/>
          <w:b/>
          <w:bCs/>
          <w:sz w:val="22"/>
          <w:szCs w:val="22"/>
        </w:rPr>
        <w:t>D</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886BC7">
        <w:rPr>
          <w:rFonts w:ascii="Times New Roman" w:hAnsi="Times New Roman"/>
          <w:b/>
          <w:bCs/>
          <w:sz w:val="22"/>
          <w:szCs w:val="22"/>
        </w:rPr>
        <w:t>UNCONTESTED DIVORCES</w:t>
      </w:r>
    </w:p>
    <w:bookmarkEnd w:id="0"/>
    <w:p w14:paraId="62F70F86" w14:textId="77777777" w:rsidR="00453DA0" w:rsidRPr="00886BC7" w:rsidRDefault="00453DA0" w:rsidP="00453DA0">
      <w:pPr>
        <w:pStyle w:val="ListParagraph"/>
        <w:widowControl/>
        <w:numPr>
          <w:ilvl w:val="0"/>
          <w:numId w:val="1"/>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sidRPr="00886BC7">
        <w:rPr>
          <w:rFonts w:ascii="Times New Roman" w:hAnsi="Times New Roman"/>
          <w:color w:val="000000"/>
          <w:sz w:val="22"/>
          <w:szCs w:val="22"/>
          <w:u w:val="single"/>
        </w:rPr>
        <w:t>General</w:t>
      </w:r>
    </w:p>
    <w:p w14:paraId="3B1B6B56" w14:textId="77777777" w:rsidR="00453DA0" w:rsidRPr="00886BC7" w:rsidRDefault="00453DA0" w:rsidP="00453DA0">
      <w:pPr>
        <w:pStyle w:val="ListParagraph"/>
        <w:widowControl/>
        <w:shd w:val="clear" w:color="auto" w:fill="FFFFFF"/>
        <w:autoSpaceDE/>
        <w:autoSpaceDN/>
        <w:adjustRightInd/>
        <w:spacing w:before="180" w:after="180" w:line="276" w:lineRule="auto"/>
        <w:textAlignment w:val="baseline"/>
        <w:rPr>
          <w:rFonts w:ascii="Times New Roman" w:hAnsi="Times New Roman"/>
          <w:color w:val="000000"/>
          <w:sz w:val="22"/>
          <w:szCs w:val="22"/>
        </w:rPr>
      </w:pPr>
    </w:p>
    <w:p w14:paraId="25F18C0C" w14:textId="77777777" w:rsidR="00453DA0" w:rsidRPr="00886BC7" w:rsidRDefault="00453DA0" w:rsidP="00453DA0">
      <w:pPr>
        <w:pStyle w:val="ListParagraph"/>
        <w:widowControl/>
        <w:numPr>
          <w:ilvl w:val="1"/>
          <w:numId w:val="1"/>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sidRPr="00886BC7">
        <w:rPr>
          <w:rFonts w:ascii="Times New Roman" w:hAnsi="Times New Roman"/>
          <w:sz w:val="22"/>
          <w:szCs w:val="22"/>
          <w:lang w:val="en-GB"/>
        </w:rPr>
        <w:t xml:space="preserve">Lawyers and </w:t>
      </w:r>
      <w:r>
        <w:rPr>
          <w:rFonts w:ascii="Times New Roman" w:hAnsi="Times New Roman"/>
          <w:sz w:val="22"/>
          <w:szCs w:val="22"/>
          <w:lang w:val="en-GB"/>
        </w:rPr>
        <w:t xml:space="preserve">self-represented </w:t>
      </w:r>
      <w:r w:rsidRPr="00886BC7">
        <w:rPr>
          <w:rFonts w:ascii="Times New Roman" w:hAnsi="Times New Roman"/>
          <w:sz w:val="22"/>
          <w:szCs w:val="22"/>
          <w:lang w:val="en-GB"/>
        </w:rPr>
        <w:t xml:space="preserve">parties are reminded of the requirements in </w:t>
      </w:r>
      <w:r w:rsidRPr="00A8008B">
        <w:rPr>
          <w:rFonts w:ascii="Times New Roman" w:hAnsi="Times New Roman"/>
          <w:i/>
          <w:iCs/>
          <w:sz w:val="22"/>
          <w:szCs w:val="22"/>
          <w:lang w:val="en-GB"/>
        </w:rPr>
        <w:t>Rule</w:t>
      </w:r>
      <w:r w:rsidRPr="00886BC7">
        <w:rPr>
          <w:rFonts w:ascii="Times New Roman" w:hAnsi="Times New Roman"/>
          <w:sz w:val="22"/>
          <w:szCs w:val="22"/>
          <w:lang w:val="en-GB"/>
        </w:rPr>
        <w:t xml:space="preserve"> 70.19 of the </w:t>
      </w:r>
      <w:r w:rsidRPr="00886BC7">
        <w:rPr>
          <w:rFonts w:ascii="Times New Roman" w:hAnsi="Times New Roman"/>
          <w:i/>
          <w:iCs/>
          <w:sz w:val="22"/>
          <w:szCs w:val="22"/>
          <w:lang w:val="en-GB"/>
        </w:rPr>
        <w:t>Rules of Civil Procedure</w:t>
      </w:r>
      <w:r w:rsidRPr="00886BC7">
        <w:rPr>
          <w:rFonts w:ascii="Times New Roman" w:hAnsi="Times New Roman"/>
          <w:sz w:val="22"/>
          <w:szCs w:val="22"/>
          <w:lang w:val="en-GB"/>
        </w:rPr>
        <w:t xml:space="preserve">, which addresses motions for judgment where a divorce proceeding is not contested. </w:t>
      </w:r>
    </w:p>
    <w:p w14:paraId="3E967EFA" w14:textId="77777777" w:rsidR="00453DA0" w:rsidRPr="00886BC7" w:rsidRDefault="00453DA0" w:rsidP="00453DA0">
      <w:pPr>
        <w:pStyle w:val="ListParagraph"/>
        <w:widowControl/>
        <w:shd w:val="clear" w:color="auto" w:fill="FFFFFF"/>
        <w:autoSpaceDE/>
        <w:autoSpaceDN/>
        <w:adjustRightInd/>
        <w:spacing w:before="180" w:after="180" w:line="276" w:lineRule="auto"/>
        <w:ind w:left="1440"/>
        <w:textAlignment w:val="baseline"/>
        <w:rPr>
          <w:rFonts w:ascii="Times New Roman" w:hAnsi="Times New Roman"/>
          <w:color w:val="000000"/>
          <w:sz w:val="22"/>
          <w:szCs w:val="22"/>
        </w:rPr>
      </w:pPr>
    </w:p>
    <w:p w14:paraId="2E9215C3" w14:textId="77777777" w:rsidR="00453DA0" w:rsidRPr="00D76AE8" w:rsidRDefault="00453DA0" w:rsidP="00453DA0">
      <w:pPr>
        <w:pStyle w:val="ListParagraph"/>
        <w:widowControl/>
        <w:numPr>
          <w:ilvl w:val="1"/>
          <w:numId w:val="1"/>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sidRPr="00886BC7">
        <w:rPr>
          <w:rFonts w:ascii="Times New Roman" w:hAnsi="Times New Roman"/>
          <w:sz w:val="22"/>
          <w:szCs w:val="22"/>
          <w:lang w:val="en-GB"/>
        </w:rPr>
        <w:t xml:space="preserve">Provided the court is satisfied the requirements in the legislative regime, and the </w:t>
      </w:r>
      <w:r w:rsidRPr="00886BC7">
        <w:rPr>
          <w:rFonts w:ascii="Times New Roman" w:hAnsi="Times New Roman"/>
          <w:i/>
          <w:iCs/>
          <w:sz w:val="22"/>
          <w:szCs w:val="22"/>
          <w:lang w:val="en-GB"/>
        </w:rPr>
        <w:t>Rules</w:t>
      </w:r>
      <w:r w:rsidRPr="00886BC7">
        <w:rPr>
          <w:rFonts w:ascii="Times New Roman" w:hAnsi="Times New Roman"/>
          <w:sz w:val="22"/>
          <w:szCs w:val="22"/>
          <w:lang w:val="en-GB"/>
        </w:rPr>
        <w:t xml:space="preserve">, have been complied with, the court may decline to require a hearing. </w:t>
      </w:r>
    </w:p>
    <w:p w14:paraId="3559A49F" w14:textId="77777777" w:rsidR="00453DA0" w:rsidRPr="00D76AE8" w:rsidRDefault="00453DA0" w:rsidP="00453DA0">
      <w:pPr>
        <w:pStyle w:val="ListParagraph"/>
        <w:rPr>
          <w:rFonts w:ascii="Times New Roman" w:hAnsi="Times New Roman"/>
          <w:color w:val="000000"/>
          <w:sz w:val="22"/>
          <w:szCs w:val="22"/>
        </w:rPr>
      </w:pPr>
    </w:p>
    <w:p w14:paraId="4B0D25E0" w14:textId="77777777" w:rsidR="00453DA0" w:rsidRPr="001E21E8" w:rsidRDefault="00453DA0" w:rsidP="00453DA0">
      <w:pPr>
        <w:pStyle w:val="ListParagraph"/>
        <w:widowControl/>
        <w:shd w:val="clear" w:color="auto" w:fill="FFFFFF"/>
        <w:autoSpaceDE/>
        <w:autoSpaceDN/>
        <w:adjustRightInd/>
        <w:spacing w:before="180" w:after="180" w:line="276" w:lineRule="auto"/>
        <w:textAlignment w:val="baseline"/>
        <w:rPr>
          <w:rFonts w:ascii="Times New Roman" w:hAnsi="Times New Roman"/>
          <w:color w:val="000000"/>
          <w:sz w:val="22"/>
          <w:szCs w:val="22"/>
        </w:rPr>
      </w:pPr>
    </w:p>
    <w:p w14:paraId="5272F278" w14:textId="77777777" w:rsidR="00453DA0" w:rsidRPr="00D76AE8" w:rsidRDefault="00453DA0" w:rsidP="00453DA0">
      <w:pPr>
        <w:pStyle w:val="ListParagraph"/>
        <w:widowControl/>
        <w:numPr>
          <w:ilvl w:val="0"/>
          <w:numId w:val="1"/>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Pr>
          <w:rFonts w:ascii="Times New Roman" w:hAnsi="Times New Roman"/>
          <w:color w:val="000000"/>
          <w:sz w:val="22"/>
          <w:szCs w:val="22"/>
          <w:u w:val="single"/>
        </w:rPr>
        <w:t>Certificates</w:t>
      </w:r>
    </w:p>
    <w:p w14:paraId="1ECCB53F" w14:textId="77777777" w:rsidR="00453DA0" w:rsidRPr="00886BC7" w:rsidRDefault="00453DA0" w:rsidP="00453DA0">
      <w:pPr>
        <w:pStyle w:val="ListParagraph"/>
        <w:rPr>
          <w:rFonts w:ascii="Times New Roman" w:hAnsi="Times New Roman"/>
          <w:sz w:val="22"/>
          <w:szCs w:val="22"/>
          <w:lang w:val="en-GB"/>
        </w:rPr>
      </w:pPr>
    </w:p>
    <w:p w14:paraId="2E51E896" w14:textId="77777777" w:rsidR="00453DA0" w:rsidRPr="0025468E" w:rsidRDefault="00453DA0" w:rsidP="00453DA0">
      <w:pPr>
        <w:pStyle w:val="ListParagraph"/>
        <w:widowControl/>
        <w:numPr>
          <w:ilvl w:val="1"/>
          <w:numId w:val="1"/>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sidRPr="00886BC7">
        <w:rPr>
          <w:rFonts w:ascii="Times New Roman" w:hAnsi="Times New Roman"/>
          <w:sz w:val="22"/>
          <w:szCs w:val="22"/>
          <w:lang w:val="en-GB"/>
        </w:rPr>
        <w:t xml:space="preserve">If the </w:t>
      </w:r>
      <w:r>
        <w:rPr>
          <w:rFonts w:ascii="Times New Roman" w:hAnsi="Times New Roman"/>
          <w:sz w:val="22"/>
          <w:szCs w:val="22"/>
          <w:lang w:val="en-GB"/>
        </w:rPr>
        <w:t>c</w:t>
      </w:r>
      <w:r w:rsidRPr="00886BC7">
        <w:rPr>
          <w:rFonts w:ascii="Times New Roman" w:hAnsi="Times New Roman"/>
          <w:sz w:val="22"/>
          <w:szCs w:val="22"/>
          <w:lang w:val="en-GB"/>
        </w:rPr>
        <w:t xml:space="preserve">ertificate of </w:t>
      </w:r>
      <w:r>
        <w:rPr>
          <w:rFonts w:ascii="Times New Roman" w:hAnsi="Times New Roman"/>
          <w:sz w:val="22"/>
          <w:szCs w:val="22"/>
          <w:lang w:val="en-GB"/>
        </w:rPr>
        <w:t>m</w:t>
      </w:r>
      <w:r w:rsidRPr="00886BC7">
        <w:rPr>
          <w:rFonts w:ascii="Times New Roman" w:hAnsi="Times New Roman"/>
          <w:sz w:val="22"/>
          <w:szCs w:val="22"/>
          <w:lang w:val="en-GB"/>
        </w:rPr>
        <w:t xml:space="preserve">arriage filed in support of the motion is not signed by the Director of Vital Statistics for Prince Edward Island, the petitioner’s affidavit must refer to the </w:t>
      </w:r>
      <w:r w:rsidRPr="0025468E">
        <w:rPr>
          <w:rFonts w:ascii="Times New Roman" w:hAnsi="Times New Roman"/>
          <w:sz w:val="22"/>
          <w:szCs w:val="22"/>
          <w:lang w:val="en-GB"/>
        </w:rPr>
        <w:t xml:space="preserve">certificate by title, date and place, name and office of issue, and state that it contains the correct particulars. </w:t>
      </w:r>
    </w:p>
    <w:p w14:paraId="17548CE6" w14:textId="77777777" w:rsidR="00453DA0" w:rsidRPr="0025468E" w:rsidRDefault="00453DA0" w:rsidP="00453DA0">
      <w:pPr>
        <w:pStyle w:val="ListParagraph"/>
        <w:rPr>
          <w:rFonts w:ascii="Times New Roman" w:hAnsi="Times New Roman"/>
          <w:sz w:val="22"/>
          <w:szCs w:val="22"/>
          <w:lang w:val="en-GB"/>
        </w:rPr>
      </w:pPr>
    </w:p>
    <w:p w14:paraId="21AE1532" w14:textId="77777777" w:rsidR="00453DA0" w:rsidRPr="0025468E" w:rsidRDefault="00453DA0" w:rsidP="00453DA0">
      <w:pPr>
        <w:pStyle w:val="ListParagraph"/>
        <w:widowControl/>
        <w:numPr>
          <w:ilvl w:val="1"/>
          <w:numId w:val="1"/>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sidRPr="0025468E">
        <w:rPr>
          <w:rFonts w:ascii="Times New Roman" w:hAnsi="Times New Roman"/>
          <w:color w:val="000000"/>
          <w:sz w:val="22"/>
          <w:szCs w:val="22"/>
        </w:rPr>
        <w:t xml:space="preserve">The original marriage certificate, or a notarized copy of the original marriage certificate, must be filed with the court. If there are children of the marriage, a birth certificate for each child, or notarized copies of birth certificates, must also be filed. </w:t>
      </w:r>
    </w:p>
    <w:p w14:paraId="2E6FD723" w14:textId="77777777" w:rsidR="00453DA0" w:rsidRPr="0025468E" w:rsidRDefault="00453DA0" w:rsidP="00453DA0">
      <w:pPr>
        <w:pStyle w:val="ListParagraph"/>
        <w:rPr>
          <w:rFonts w:ascii="Times New Roman" w:hAnsi="Times New Roman"/>
          <w:sz w:val="22"/>
          <w:szCs w:val="22"/>
          <w:lang w:val="en-GB"/>
        </w:rPr>
      </w:pPr>
    </w:p>
    <w:p w14:paraId="139D277E" w14:textId="77777777" w:rsidR="00453DA0" w:rsidRPr="001E66E8" w:rsidRDefault="00453DA0" w:rsidP="00453DA0">
      <w:pPr>
        <w:pStyle w:val="ListParagraph"/>
        <w:widowControl/>
        <w:numPr>
          <w:ilvl w:val="1"/>
          <w:numId w:val="1"/>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sidRPr="0025468E">
        <w:rPr>
          <w:rFonts w:ascii="Times New Roman" w:hAnsi="Times New Roman"/>
          <w:sz w:val="22"/>
          <w:szCs w:val="22"/>
          <w:lang w:val="en-GB"/>
        </w:rPr>
        <w:t>If the certificate of marriage filed in support of the motion, or the birth certificates of any children of the marriage, are in a language other than English or French, the certificate(s) must be translated by a certified translator into either English or French. The original certificate (or a notarized copy), as well</w:t>
      </w:r>
      <w:r w:rsidRPr="00886BC7">
        <w:rPr>
          <w:rFonts w:ascii="Times New Roman" w:hAnsi="Times New Roman"/>
          <w:sz w:val="22"/>
          <w:szCs w:val="22"/>
          <w:lang w:val="en-GB"/>
        </w:rPr>
        <w:t xml:space="preserve"> as the certified translated copy of the certificate, must be filed.</w:t>
      </w:r>
    </w:p>
    <w:p w14:paraId="0F00D515" w14:textId="77777777" w:rsidR="00453DA0" w:rsidRPr="001E66E8" w:rsidRDefault="00453DA0" w:rsidP="00453DA0">
      <w:pPr>
        <w:pStyle w:val="ListParagraph"/>
        <w:rPr>
          <w:rFonts w:ascii="Times New Roman" w:hAnsi="Times New Roman"/>
          <w:color w:val="000000"/>
          <w:sz w:val="22"/>
          <w:szCs w:val="22"/>
        </w:rPr>
      </w:pPr>
    </w:p>
    <w:p w14:paraId="2DFB44F8" w14:textId="77777777" w:rsidR="00453DA0" w:rsidRPr="00886BC7" w:rsidRDefault="00453DA0" w:rsidP="00453DA0">
      <w:pPr>
        <w:spacing w:line="276" w:lineRule="auto"/>
        <w:jc w:val="both"/>
        <w:rPr>
          <w:rFonts w:ascii="Times New Roman" w:hAnsi="Times New Roman"/>
          <w:sz w:val="22"/>
          <w:szCs w:val="22"/>
          <w:lang w:val="en-GB"/>
        </w:rPr>
      </w:pPr>
    </w:p>
    <w:p w14:paraId="1B91BCBB" w14:textId="77777777" w:rsidR="00453DA0" w:rsidRPr="00886BC7" w:rsidRDefault="00453DA0" w:rsidP="00453DA0">
      <w:pPr>
        <w:pStyle w:val="ListParagraph"/>
        <w:numPr>
          <w:ilvl w:val="0"/>
          <w:numId w:val="1"/>
        </w:numPr>
        <w:tabs>
          <w:tab w:val="left" w:pos="-1440"/>
        </w:tabs>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Children</w:t>
      </w:r>
    </w:p>
    <w:p w14:paraId="41021538" w14:textId="77777777" w:rsidR="00453DA0" w:rsidRPr="00886BC7" w:rsidRDefault="00453DA0" w:rsidP="00453DA0">
      <w:pPr>
        <w:tabs>
          <w:tab w:val="left" w:pos="-1440"/>
        </w:tabs>
        <w:spacing w:line="276" w:lineRule="auto"/>
        <w:ind w:left="720" w:hanging="720"/>
        <w:jc w:val="both"/>
        <w:rPr>
          <w:rFonts w:ascii="Times New Roman" w:hAnsi="Times New Roman"/>
          <w:b/>
          <w:bCs/>
          <w:sz w:val="22"/>
          <w:szCs w:val="22"/>
          <w:lang w:val="en-GB"/>
        </w:rPr>
      </w:pPr>
    </w:p>
    <w:p w14:paraId="07F4E388" w14:textId="77777777" w:rsidR="00453DA0" w:rsidRPr="00886BC7" w:rsidRDefault="00453DA0" w:rsidP="00453DA0">
      <w:pPr>
        <w:pStyle w:val="ListParagraph"/>
        <w:tabs>
          <w:tab w:val="left" w:pos="-1440"/>
        </w:tabs>
        <w:spacing w:line="276" w:lineRule="auto"/>
        <w:jc w:val="both"/>
        <w:rPr>
          <w:rFonts w:ascii="Times New Roman" w:hAnsi="Times New Roman"/>
          <w:sz w:val="22"/>
          <w:szCs w:val="22"/>
          <w:lang w:val="en-GB"/>
        </w:rPr>
      </w:pPr>
      <w:r w:rsidRPr="00886BC7">
        <w:rPr>
          <w:rFonts w:ascii="Times New Roman" w:hAnsi="Times New Roman"/>
          <w:sz w:val="22"/>
          <w:szCs w:val="22"/>
        </w:rPr>
        <w:t>The affidavit in support of the motion</w:t>
      </w:r>
      <w:r w:rsidRPr="00886BC7">
        <w:rPr>
          <w:rFonts w:ascii="Times New Roman" w:hAnsi="Times New Roman"/>
          <w:b/>
          <w:bCs/>
          <w:sz w:val="22"/>
          <w:szCs w:val="22"/>
        </w:rPr>
        <w:t xml:space="preserve"> </w:t>
      </w:r>
      <w:r w:rsidRPr="00886BC7">
        <w:rPr>
          <w:rFonts w:ascii="Times New Roman" w:hAnsi="Times New Roman"/>
          <w:sz w:val="22"/>
          <w:szCs w:val="22"/>
        </w:rPr>
        <w:t xml:space="preserve">is to clearly indicate if there are, or are not, children of the union. If there are children of the union, the affidavit is to state the names and dates of birth of the children and </w:t>
      </w:r>
      <w:r w:rsidRPr="00886BC7">
        <w:rPr>
          <w:rFonts w:ascii="Times New Roman" w:hAnsi="Times New Roman"/>
          <w:sz w:val="22"/>
          <w:szCs w:val="22"/>
          <w:lang w:val="en-GB"/>
        </w:rPr>
        <w:t xml:space="preserve">indicate whether each child remains </w:t>
      </w:r>
      <w:r>
        <w:rPr>
          <w:rFonts w:ascii="Times New Roman" w:hAnsi="Times New Roman"/>
          <w:sz w:val="22"/>
          <w:szCs w:val="22"/>
          <w:lang w:val="en-GB"/>
        </w:rPr>
        <w:t>a</w:t>
      </w:r>
      <w:r w:rsidRPr="00886BC7">
        <w:rPr>
          <w:rFonts w:ascii="Times New Roman" w:hAnsi="Times New Roman"/>
          <w:sz w:val="22"/>
          <w:szCs w:val="22"/>
          <w:lang w:val="en-GB"/>
        </w:rPr>
        <w:t xml:space="preserve"> “child of the marriage” as </w:t>
      </w:r>
      <w:r>
        <w:rPr>
          <w:rFonts w:ascii="Times New Roman" w:hAnsi="Times New Roman"/>
          <w:sz w:val="22"/>
          <w:szCs w:val="22"/>
          <w:lang w:val="en-GB"/>
        </w:rPr>
        <w:t>define</w:t>
      </w:r>
      <w:r w:rsidRPr="00886BC7">
        <w:rPr>
          <w:rFonts w:ascii="Times New Roman" w:hAnsi="Times New Roman"/>
          <w:sz w:val="22"/>
          <w:szCs w:val="22"/>
          <w:lang w:val="en-GB"/>
        </w:rPr>
        <w:t xml:space="preserve">d in s. 2(1) of the </w:t>
      </w:r>
      <w:r w:rsidRPr="00886BC7">
        <w:rPr>
          <w:rFonts w:ascii="Times New Roman" w:hAnsi="Times New Roman"/>
          <w:i/>
          <w:iCs/>
          <w:sz w:val="22"/>
          <w:szCs w:val="22"/>
          <w:lang w:val="en-GB"/>
        </w:rPr>
        <w:t>Divorce Act</w:t>
      </w:r>
      <w:r>
        <w:rPr>
          <w:rFonts w:ascii="Times New Roman" w:hAnsi="Times New Roman"/>
          <w:i/>
          <w:iCs/>
          <w:sz w:val="22"/>
          <w:szCs w:val="22"/>
          <w:lang w:val="en-GB"/>
        </w:rPr>
        <w:t xml:space="preserve">, </w:t>
      </w:r>
      <w:r w:rsidRPr="00886BC7">
        <w:rPr>
          <w:rFonts w:ascii="Times New Roman" w:hAnsi="Times New Roman"/>
          <w:sz w:val="22"/>
          <w:szCs w:val="22"/>
        </w:rPr>
        <w:t>RSC 1985</w:t>
      </w:r>
      <w:r>
        <w:rPr>
          <w:rFonts w:ascii="Times New Roman" w:hAnsi="Times New Roman"/>
          <w:sz w:val="22"/>
          <w:szCs w:val="22"/>
        </w:rPr>
        <w:t>,</w:t>
      </w:r>
      <w:r w:rsidRPr="00886BC7">
        <w:rPr>
          <w:rFonts w:ascii="Times New Roman" w:hAnsi="Times New Roman"/>
          <w:sz w:val="22"/>
          <w:szCs w:val="22"/>
        </w:rPr>
        <w:t xml:space="preserve"> </w:t>
      </w:r>
      <w:r>
        <w:rPr>
          <w:rFonts w:ascii="Times New Roman" w:hAnsi="Times New Roman"/>
          <w:sz w:val="22"/>
          <w:szCs w:val="22"/>
        </w:rPr>
        <w:t>Cap</w:t>
      </w:r>
      <w:r w:rsidRPr="00886BC7">
        <w:rPr>
          <w:rFonts w:ascii="Times New Roman" w:hAnsi="Times New Roman"/>
          <w:sz w:val="22"/>
          <w:szCs w:val="22"/>
        </w:rPr>
        <w:t>. 3</w:t>
      </w:r>
      <w:r w:rsidRPr="00886BC7">
        <w:rPr>
          <w:rFonts w:ascii="Times New Roman" w:hAnsi="Times New Roman"/>
          <w:sz w:val="22"/>
          <w:szCs w:val="22"/>
          <w:lang w:val="en-GB"/>
        </w:rPr>
        <w:t>.</w:t>
      </w:r>
    </w:p>
    <w:p w14:paraId="58C9983E" w14:textId="77777777" w:rsidR="00453DA0" w:rsidRPr="00886BC7" w:rsidRDefault="00453DA0" w:rsidP="00453DA0">
      <w:pPr>
        <w:pStyle w:val="ListParagraph"/>
        <w:tabs>
          <w:tab w:val="left" w:pos="-1440"/>
        </w:tabs>
        <w:spacing w:line="276" w:lineRule="auto"/>
        <w:jc w:val="both"/>
        <w:rPr>
          <w:rFonts w:ascii="Times New Roman" w:hAnsi="Times New Roman"/>
          <w:sz w:val="22"/>
          <w:szCs w:val="22"/>
          <w:lang w:val="en-GB"/>
        </w:rPr>
      </w:pPr>
    </w:p>
    <w:p w14:paraId="48E2796F" w14:textId="77777777" w:rsidR="00453DA0" w:rsidRDefault="00453DA0" w:rsidP="00453DA0">
      <w:pPr>
        <w:pStyle w:val="ListParagraph"/>
        <w:spacing w:line="276" w:lineRule="auto"/>
        <w:jc w:val="both"/>
        <w:rPr>
          <w:rFonts w:ascii="Times New Roman" w:hAnsi="Times New Roman"/>
          <w:sz w:val="22"/>
          <w:szCs w:val="22"/>
          <w:u w:val="single"/>
          <w:lang w:val="en-GB"/>
        </w:rPr>
      </w:pPr>
    </w:p>
    <w:p w14:paraId="33597B48" w14:textId="77777777" w:rsidR="00453DA0" w:rsidRPr="00886BC7" w:rsidRDefault="00453DA0" w:rsidP="00453DA0">
      <w:pPr>
        <w:pStyle w:val="ListParagraph"/>
        <w:numPr>
          <w:ilvl w:val="0"/>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Division of Property/Equalization</w:t>
      </w:r>
    </w:p>
    <w:p w14:paraId="0ADB3879" w14:textId="77777777" w:rsidR="00453DA0" w:rsidRPr="00886BC7" w:rsidRDefault="00453DA0" w:rsidP="00453DA0">
      <w:pPr>
        <w:pStyle w:val="ListParagraph"/>
        <w:spacing w:line="276" w:lineRule="auto"/>
        <w:jc w:val="both"/>
        <w:rPr>
          <w:rFonts w:ascii="Times New Roman" w:hAnsi="Times New Roman"/>
          <w:sz w:val="22"/>
          <w:szCs w:val="22"/>
          <w:u w:val="single"/>
          <w:lang w:val="en-GB"/>
        </w:rPr>
      </w:pPr>
    </w:p>
    <w:p w14:paraId="17124018" w14:textId="77777777" w:rsidR="00453DA0" w:rsidRPr="00886BC7" w:rsidRDefault="00453DA0" w:rsidP="00453DA0">
      <w:pPr>
        <w:pStyle w:val="ListParagraph"/>
        <w:numPr>
          <w:ilvl w:val="1"/>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Lawyers and self-represented parties are reminded</w:t>
      </w:r>
      <w:r>
        <w:rPr>
          <w:rFonts w:ascii="Times New Roman" w:hAnsi="Times New Roman"/>
          <w:sz w:val="22"/>
          <w:szCs w:val="22"/>
          <w:lang w:val="en-GB"/>
        </w:rPr>
        <w:t xml:space="preserve"> that</w:t>
      </w:r>
      <w:r w:rsidRPr="00886BC7">
        <w:rPr>
          <w:rFonts w:ascii="Times New Roman" w:hAnsi="Times New Roman"/>
          <w:sz w:val="22"/>
          <w:szCs w:val="22"/>
          <w:lang w:val="en-GB"/>
        </w:rPr>
        <w:t xml:space="preserve"> if the parties have reached a suitable division of property, either by formal or informal agreement, or if there is to be no division of property, </w:t>
      </w:r>
      <w:r w:rsidRPr="001821F2">
        <w:rPr>
          <w:rFonts w:ascii="Times New Roman" w:hAnsi="Times New Roman"/>
          <w:i/>
          <w:iCs/>
          <w:sz w:val="22"/>
          <w:szCs w:val="22"/>
          <w:lang w:val="en-GB"/>
        </w:rPr>
        <w:t>Rule</w:t>
      </w:r>
      <w:r w:rsidRPr="00886BC7">
        <w:rPr>
          <w:rFonts w:ascii="Times New Roman" w:hAnsi="Times New Roman"/>
          <w:sz w:val="22"/>
          <w:szCs w:val="22"/>
          <w:lang w:val="en-GB"/>
        </w:rPr>
        <w:t xml:space="preserve"> 70.19(5)(</w:t>
      </w:r>
      <w:proofErr w:type="spellStart"/>
      <w:r w:rsidRPr="00886BC7">
        <w:rPr>
          <w:rFonts w:ascii="Times New Roman" w:hAnsi="Times New Roman"/>
          <w:sz w:val="22"/>
          <w:szCs w:val="22"/>
          <w:lang w:val="en-GB"/>
        </w:rPr>
        <w:t>i</w:t>
      </w:r>
      <w:proofErr w:type="spellEnd"/>
      <w:r w:rsidRPr="00886BC7">
        <w:rPr>
          <w:rFonts w:ascii="Times New Roman" w:hAnsi="Times New Roman"/>
          <w:sz w:val="22"/>
          <w:szCs w:val="22"/>
          <w:lang w:val="en-GB"/>
        </w:rPr>
        <w:t xml:space="preserve">) provides the petitioner’s affidavit must state that they do not wish to claim division at this time and that they understand they may be barred from doing so later. </w:t>
      </w:r>
    </w:p>
    <w:p w14:paraId="32318CCC" w14:textId="77777777" w:rsidR="00453DA0" w:rsidRPr="00886BC7" w:rsidRDefault="00453DA0" w:rsidP="00453DA0">
      <w:pPr>
        <w:pStyle w:val="ListParagraph"/>
        <w:spacing w:line="276" w:lineRule="auto"/>
        <w:ind w:left="1440"/>
        <w:jc w:val="both"/>
        <w:rPr>
          <w:rFonts w:ascii="Times New Roman" w:hAnsi="Times New Roman"/>
          <w:sz w:val="22"/>
          <w:szCs w:val="22"/>
          <w:u w:val="single"/>
          <w:lang w:val="en-GB"/>
        </w:rPr>
      </w:pPr>
    </w:p>
    <w:p w14:paraId="31F32ACD" w14:textId="77777777" w:rsidR="00453DA0" w:rsidRPr="00886BC7" w:rsidRDefault="00453DA0" w:rsidP="00453DA0">
      <w:pPr>
        <w:pStyle w:val="ListParagraph"/>
        <w:numPr>
          <w:ilvl w:val="1"/>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 xml:space="preserve">Any settlement of division of property shall be referred to in the petitioner’s affidavit and any such agreement shall be filed with the court (for example, a separation agreement or memorandum of settlement). </w:t>
      </w:r>
    </w:p>
    <w:p w14:paraId="58BDD941" w14:textId="77777777" w:rsidR="00453DA0" w:rsidRPr="00886BC7" w:rsidRDefault="00453DA0" w:rsidP="00453DA0">
      <w:pPr>
        <w:pStyle w:val="ListParagraph"/>
        <w:rPr>
          <w:rFonts w:ascii="Times New Roman" w:hAnsi="Times New Roman"/>
          <w:sz w:val="22"/>
          <w:szCs w:val="22"/>
        </w:rPr>
      </w:pPr>
    </w:p>
    <w:p w14:paraId="06448A34" w14:textId="77777777" w:rsidR="00453DA0" w:rsidRPr="00886BC7" w:rsidRDefault="00453DA0" w:rsidP="00453DA0">
      <w:pPr>
        <w:pStyle w:val="ListParagraph"/>
        <w:numPr>
          <w:ilvl w:val="1"/>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 xml:space="preserve">Where a petitioner claims an equalization of net family property, and the respondent does not file an </w:t>
      </w:r>
      <w:r>
        <w:rPr>
          <w:rFonts w:ascii="Times New Roman" w:hAnsi="Times New Roman"/>
          <w:sz w:val="22"/>
          <w:szCs w:val="22"/>
        </w:rPr>
        <w:t>A</w:t>
      </w:r>
      <w:r w:rsidRPr="00886BC7">
        <w:rPr>
          <w:rFonts w:ascii="Times New Roman" w:hAnsi="Times New Roman"/>
          <w:sz w:val="22"/>
          <w:szCs w:val="22"/>
        </w:rPr>
        <w:t xml:space="preserve">nswer, the petitioner may request that the respondent be noted in default.  A hearing will </w:t>
      </w:r>
      <w:r>
        <w:rPr>
          <w:rFonts w:ascii="Times New Roman" w:hAnsi="Times New Roman"/>
          <w:sz w:val="22"/>
          <w:szCs w:val="22"/>
        </w:rPr>
        <w:t xml:space="preserve">generally </w:t>
      </w:r>
      <w:r w:rsidRPr="00886BC7">
        <w:rPr>
          <w:rFonts w:ascii="Times New Roman" w:hAnsi="Times New Roman"/>
          <w:sz w:val="22"/>
          <w:szCs w:val="22"/>
        </w:rPr>
        <w:t xml:space="preserve">be required </w:t>
      </w:r>
      <w:proofErr w:type="gramStart"/>
      <w:r w:rsidRPr="00886BC7">
        <w:rPr>
          <w:rFonts w:ascii="Times New Roman" w:hAnsi="Times New Roman"/>
          <w:sz w:val="22"/>
          <w:szCs w:val="22"/>
        </w:rPr>
        <w:t>in order to</w:t>
      </w:r>
      <w:proofErr w:type="gramEnd"/>
      <w:r w:rsidRPr="00886BC7">
        <w:rPr>
          <w:rFonts w:ascii="Times New Roman" w:hAnsi="Times New Roman"/>
          <w:sz w:val="22"/>
          <w:szCs w:val="22"/>
        </w:rPr>
        <w:t xml:space="preserve"> </w:t>
      </w:r>
      <w:r>
        <w:rPr>
          <w:rFonts w:ascii="Times New Roman" w:hAnsi="Times New Roman"/>
          <w:sz w:val="22"/>
          <w:szCs w:val="22"/>
        </w:rPr>
        <w:t>seek</w:t>
      </w:r>
      <w:r w:rsidRPr="00886BC7">
        <w:rPr>
          <w:rFonts w:ascii="Times New Roman" w:hAnsi="Times New Roman"/>
          <w:sz w:val="22"/>
          <w:szCs w:val="22"/>
        </w:rPr>
        <w:t xml:space="preserve"> an order for equalization. In such a case the petitioner may request a date for a motion. Notwithstanding the default, the court </w:t>
      </w:r>
      <w:proofErr w:type="gramStart"/>
      <w:r w:rsidRPr="00886BC7">
        <w:rPr>
          <w:rFonts w:ascii="Times New Roman" w:hAnsi="Times New Roman"/>
          <w:sz w:val="22"/>
          <w:szCs w:val="22"/>
        </w:rPr>
        <w:t>may</w:t>
      </w:r>
      <w:proofErr w:type="gramEnd"/>
      <w:r w:rsidRPr="00886BC7">
        <w:rPr>
          <w:rFonts w:ascii="Times New Roman" w:hAnsi="Times New Roman"/>
          <w:sz w:val="22"/>
          <w:szCs w:val="22"/>
        </w:rPr>
        <w:t xml:space="preserve"> in its </w:t>
      </w:r>
      <w:proofErr w:type="gramStart"/>
      <w:r w:rsidRPr="00886BC7">
        <w:rPr>
          <w:rFonts w:ascii="Times New Roman" w:hAnsi="Times New Roman"/>
          <w:sz w:val="22"/>
          <w:szCs w:val="22"/>
        </w:rPr>
        <w:t>discretion</w:t>
      </w:r>
      <w:proofErr w:type="gramEnd"/>
      <w:r w:rsidRPr="00886BC7">
        <w:rPr>
          <w:rFonts w:ascii="Times New Roman" w:hAnsi="Times New Roman"/>
          <w:sz w:val="22"/>
          <w:szCs w:val="22"/>
        </w:rPr>
        <w:t xml:space="preserve"> require notice of the motion </w:t>
      </w:r>
      <w:proofErr w:type="gramStart"/>
      <w:r w:rsidRPr="00886BC7">
        <w:rPr>
          <w:rFonts w:ascii="Times New Roman" w:hAnsi="Times New Roman"/>
          <w:sz w:val="22"/>
          <w:szCs w:val="22"/>
        </w:rPr>
        <w:t>be</w:t>
      </w:r>
      <w:proofErr w:type="gramEnd"/>
      <w:r w:rsidRPr="00886BC7">
        <w:rPr>
          <w:rFonts w:ascii="Times New Roman" w:hAnsi="Times New Roman"/>
          <w:sz w:val="22"/>
          <w:szCs w:val="22"/>
        </w:rPr>
        <w:t xml:space="preserve"> provided to the respondent. </w:t>
      </w:r>
    </w:p>
    <w:p w14:paraId="0E769C79" w14:textId="77777777" w:rsidR="00453DA0" w:rsidRPr="00886BC7" w:rsidRDefault="00453DA0" w:rsidP="00453DA0">
      <w:pPr>
        <w:pStyle w:val="ListParagraph"/>
        <w:rPr>
          <w:rFonts w:ascii="Times New Roman" w:hAnsi="Times New Roman"/>
          <w:sz w:val="22"/>
          <w:szCs w:val="22"/>
        </w:rPr>
      </w:pPr>
    </w:p>
    <w:p w14:paraId="775D8E8B" w14:textId="77777777" w:rsidR="00453DA0" w:rsidRPr="00886BC7" w:rsidRDefault="00453DA0" w:rsidP="00453DA0">
      <w:pPr>
        <w:pStyle w:val="ListParagraph"/>
        <w:numPr>
          <w:ilvl w:val="1"/>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 xml:space="preserve">The petitioner is to provide detailed proof of the value of the family property, including for example, appraisals of real property, valuation of pensions, etc.  An exact proposed equalization should be sought, with supporting evidence.  A Statement of Property Form 70 I(D) is to be filed. </w:t>
      </w:r>
    </w:p>
    <w:p w14:paraId="5B325A5D" w14:textId="77777777" w:rsidR="00453DA0" w:rsidRPr="00886BC7" w:rsidRDefault="00453DA0" w:rsidP="00453DA0">
      <w:pPr>
        <w:spacing w:line="276" w:lineRule="auto"/>
        <w:jc w:val="both"/>
        <w:rPr>
          <w:rFonts w:ascii="Times New Roman" w:hAnsi="Times New Roman"/>
          <w:b/>
          <w:bCs/>
          <w:sz w:val="22"/>
          <w:szCs w:val="22"/>
        </w:rPr>
      </w:pPr>
    </w:p>
    <w:p w14:paraId="35C182F8" w14:textId="77777777" w:rsidR="00453DA0" w:rsidRPr="00886BC7" w:rsidRDefault="00453DA0" w:rsidP="00453DA0">
      <w:pPr>
        <w:pStyle w:val="ListParagraph"/>
        <w:numPr>
          <w:ilvl w:val="0"/>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Divorce Judgment</w:t>
      </w:r>
    </w:p>
    <w:p w14:paraId="5BCA2E1F" w14:textId="77777777" w:rsidR="00453DA0" w:rsidRPr="00886BC7" w:rsidRDefault="00453DA0" w:rsidP="00453DA0">
      <w:pPr>
        <w:pStyle w:val="ListParagraph"/>
        <w:spacing w:line="276" w:lineRule="auto"/>
        <w:jc w:val="both"/>
        <w:rPr>
          <w:rFonts w:ascii="Times New Roman" w:hAnsi="Times New Roman"/>
          <w:sz w:val="22"/>
          <w:szCs w:val="22"/>
          <w:u w:val="single"/>
          <w:lang w:val="en-GB"/>
        </w:rPr>
      </w:pPr>
    </w:p>
    <w:p w14:paraId="765846C8" w14:textId="77777777" w:rsidR="00453DA0" w:rsidRPr="00886BC7" w:rsidRDefault="00453DA0" w:rsidP="00453DA0">
      <w:pPr>
        <w:pStyle w:val="ListParagraph"/>
        <w:numPr>
          <w:ilvl w:val="1"/>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 xml:space="preserve">All </w:t>
      </w:r>
      <w:r>
        <w:rPr>
          <w:rFonts w:ascii="Times New Roman" w:hAnsi="Times New Roman"/>
          <w:sz w:val="22"/>
          <w:szCs w:val="22"/>
          <w:lang w:val="en-GB"/>
        </w:rPr>
        <w:t>requested terms (i.e. relief sought)</w:t>
      </w:r>
      <w:r w:rsidRPr="00886BC7">
        <w:rPr>
          <w:rFonts w:ascii="Times New Roman" w:hAnsi="Times New Roman"/>
          <w:sz w:val="22"/>
          <w:szCs w:val="22"/>
          <w:lang w:val="en-GB"/>
        </w:rPr>
        <w:t xml:space="preserve"> in proposed judgments must be consistent with the </w:t>
      </w:r>
      <w:r>
        <w:rPr>
          <w:rFonts w:ascii="Times New Roman" w:hAnsi="Times New Roman"/>
          <w:sz w:val="22"/>
          <w:szCs w:val="22"/>
          <w:lang w:val="en-GB"/>
        </w:rPr>
        <w:t xml:space="preserve">relief sought in the </w:t>
      </w:r>
      <w:r w:rsidRPr="00886BC7">
        <w:rPr>
          <w:rFonts w:ascii="Times New Roman" w:hAnsi="Times New Roman"/>
          <w:sz w:val="22"/>
          <w:szCs w:val="22"/>
          <w:lang w:val="en-GB"/>
        </w:rPr>
        <w:t xml:space="preserve">divorce petition. Therefore, the </w:t>
      </w:r>
      <w:r>
        <w:rPr>
          <w:rFonts w:ascii="Times New Roman" w:hAnsi="Times New Roman"/>
          <w:sz w:val="22"/>
          <w:szCs w:val="22"/>
          <w:lang w:val="en-GB"/>
        </w:rPr>
        <w:t>p</w:t>
      </w:r>
      <w:r w:rsidRPr="00886BC7">
        <w:rPr>
          <w:rFonts w:ascii="Times New Roman" w:hAnsi="Times New Roman"/>
          <w:sz w:val="22"/>
          <w:szCs w:val="22"/>
          <w:lang w:val="en-GB"/>
        </w:rPr>
        <w:t>etitioner is to cross-check the proposed judgment with the petition for accuracy.</w:t>
      </w:r>
    </w:p>
    <w:p w14:paraId="33A05999" w14:textId="77777777" w:rsidR="00453DA0" w:rsidRPr="00886BC7" w:rsidRDefault="00453DA0" w:rsidP="00453DA0">
      <w:pPr>
        <w:pStyle w:val="ListParagraph"/>
        <w:spacing w:line="276" w:lineRule="auto"/>
        <w:ind w:left="1440"/>
        <w:jc w:val="both"/>
        <w:rPr>
          <w:rFonts w:ascii="Times New Roman" w:hAnsi="Times New Roman"/>
          <w:sz w:val="22"/>
          <w:szCs w:val="22"/>
          <w:u w:val="single"/>
          <w:lang w:val="en-GB"/>
        </w:rPr>
      </w:pPr>
    </w:p>
    <w:p w14:paraId="299A0EA3" w14:textId="77777777" w:rsidR="00453DA0" w:rsidRPr="00886BC7" w:rsidRDefault="00453DA0" w:rsidP="00453DA0">
      <w:pPr>
        <w:pStyle w:val="ListParagraph"/>
        <w:numPr>
          <w:ilvl w:val="1"/>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Divorce judgments are not to contain clauses which purport to oust or restrict the court's jurisdiction to review or vary spousal or child support provisions in the future.</w:t>
      </w:r>
    </w:p>
    <w:p w14:paraId="163044B4" w14:textId="77777777" w:rsidR="00453DA0" w:rsidRPr="00886BC7" w:rsidRDefault="00453DA0" w:rsidP="00453DA0">
      <w:pPr>
        <w:pStyle w:val="ListParagraph"/>
        <w:rPr>
          <w:rFonts w:ascii="Times New Roman" w:hAnsi="Times New Roman"/>
          <w:sz w:val="22"/>
          <w:szCs w:val="22"/>
          <w:lang w:val="en-GB"/>
        </w:rPr>
      </w:pPr>
    </w:p>
    <w:p w14:paraId="54C87DCA" w14:textId="77777777" w:rsidR="00453DA0" w:rsidRPr="00886BC7" w:rsidRDefault="00453DA0" w:rsidP="00453DA0">
      <w:pPr>
        <w:pStyle w:val="ListParagraph"/>
        <w:numPr>
          <w:ilvl w:val="1"/>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Lawyers and self-represented parties are reminded that the court is required to follow the governing statutes in terms of subject matter to be included in a divorce judgment. Therefore, unenforceable excerpts from a separation agreement or memorandum of settlement are not to be included in a divorce judgment.</w:t>
      </w:r>
    </w:p>
    <w:p w14:paraId="2A8E8467" w14:textId="77777777" w:rsidR="00453DA0" w:rsidRPr="00886BC7" w:rsidRDefault="00453DA0" w:rsidP="00453DA0">
      <w:pPr>
        <w:pStyle w:val="ListParagraph"/>
        <w:rPr>
          <w:rFonts w:ascii="Times New Roman" w:hAnsi="Times New Roman"/>
          <w:sz w:val="22"/>
          <w:szCs w:val="22"/>
          <w:highlight w:val="cyan"/>
        </w:rPr>
      </w:pPr>
    </w:p>
    <w:p w14:paraId="387A2AFA" w14:textId="77777777" w:rsidR="00453DA0" w:rsidRPr="00886BC7" w:rsidRDefault="00453DA0" w:rsidP="00453DA0">
      <w:pPr>
        <w:pStyle w:val="ListParagraph"/>
        <w:numPr>
          <w:ilvl w:val="1"/>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If the parties reach a settlement at any stage in a proceeding and plan to file a Consent Divorce Judgment, supporting documents must be filed with the Consent Divorce Judgment. The supporting documents include a Notice of Motion for Judgment, the petitioner’s affidavit (or respondent’s affidavit as the case may be), and the Registrar’s Certificate, unless the court directs otherwise.</w:t>
      </w:r>
    </w:p>
    <w:p w14:paraId="41CF7E34" w14:textId="77777777" w:rsidR="00453DA0" w:rsidRPr="00886BC7" w:rsidRDefault="00453DA0" w:rsidP="00453DA0">
      <w:pPr>
        <w:pStyle w:val="ListParagraph"/>
        <w:rPr>
          <w:rFonts w:ascii="Times New Roman" w:hAnsi="Times New Roman"/>
          <w:sz w:val="22"/>
          <w:szCs w:val="22"/>
        </w:rPr>
      </w:pPr>
    </w:p>
    <w:p w14:paraId="5029725F" w14:textId="77777777" w:rsidR="00453DA0" w:rsidRPr="00886BC7" w:rsidRDefault="00453DA0" w:rsidP="00453DA0">
      <w:pPr>
        <w:pStyle w:val="ListParagraph"/>
        <w:numPr>
          <w:ilvl w:val="1"/>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 xml:space="preserve">A divorce judgment will not be issued unless birth certificates for all dependent children of the marriage are filed. This is so </w:t>
      </w:r>
      <w:r>
        <w:rPr>
          <w:rFonts w:ascii="Times New Roman" w:hAnsi="Times New Roman"/>
          <w:sz w:val="22"/>
          <w:szCs w:val="22"/>
        </w:rPr>
        <w:t xml:space="preserve">the </w:t>
      </w:r>
      <w:r w:rsidRPr="00886BC7">
        <w:rPr>
          <w:rFonts w:ascii="Times New Roman" w:hAnsi="Times New Roman"/>
          <w:sz w:val="22"/>
          <w:szCs w:val="22"/>
        </w:rPr>
        <w:t>deputy registrar can ensure that the names and birth dates of the children on the divorce judgment are the same as on the birth certificate.</w:t>
      </w:r>
    </w:p>
    <w:p w14:paraId="78BDEDD3" w14:textId="77777777" w:rsidR="00ED1BFF" w:rsidRPr="00453DA0" w:rsidRDefault="00ED1BFF">
      <w:pPr>
        <w:rPr>
          <w:lang w:val="en-GB"/>
        </w:rPr>
      </w:pPr>
    </w:p>
    <w:sectPr w:rsidR="00ED1BFF" w:rsidRPr="00453D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0DB29" w14:textId="77777777" w:rsidR="0011351B" w:rsidRDefault="0011351B" w:rsidP="0011351B">
      <w:r>
        <w:separator/>
      </w:r>
    </w:p>
  </w:endnote>
  <w:endnote w:type="continuationSeparator" w:id="0">
    <w:p w14:paraId="78639EA1" w14:textId="77777777" w:rsidR="0011351B" w:rsidRDefault="0011351B" w:rsidP="0011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436392"/>
      <w:docPartObj>
        <w:docPartGallery w:val="Page Numbers (Bottom of Page)"/>
        <w:docPartUnique/>
      </w:docPartObj>
    </w:sdtPr>
    <w:sdtEndPr>
      <w:rPr>
        <w:noProof/>
      </w:rPr>
    </w:sdtEndPr>
    <w:sdtContent>
      <w:p w14:paraId="38375CDE" w14:textId="50801C96" w:rsidR="0011351B" w:rsidRDefault="001135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D9CFA8" w14:textId="77777777" w:rsidR="0011351B" w:rsidRDefault="00113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62CBE" w14:textId="77777777" w:rsidR="0011351B" w:rsidRDefault="0011351B" w:rsidP="0011351B">
      <w:r>
        <w:separator/>
      </w:r>
    </w:p>
  </w:footnote>
  <w:footnote w:type="continuationSeparator" w:id="0">
    <w:p w14:paraId="520BDB20" w14:textId="77777777" w:rsidR="0011351B" w:rsidRDefault="0011351B" w:rsidP="00113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A77463"/>
    <w:multiLevelType w:val="hybridMultilevel"/>
    <w:tmpl w:val="D9287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87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A0"/>
    <w:rsid w:val="000824AF"/>
    <w:rsid w:val="0011351B"/>
    <w:rsid w:val="003E4C92"/>
    <w:rsid w:val="00424F8B"/>
    <w:rsid w:val="00453DA0"/>
    <w:rsid w:val="004B03A6"/>
    <w:rsid w:val="004C60FA"/>
    <w:rsid w:val="008D7D56"/>
    <w:rsid w:val="009230C7"/>
    <w:rsid w:val="00B42811"/>
    <w:rsid w:val="00D62ABD"/>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E6C4"/>
  <w15:chartTrackingRefBased/>
  <w15:docId w15:val="{4D251271-F3FA-4634-AA11-0D491E99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DA0"/>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453D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D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D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D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53DA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53DA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3DA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3DA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3DA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D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D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DA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DA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53DA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53D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3D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3D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3D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3D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DA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D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3D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3DA0"/>
    <w:rPr>
      <w:i/>
      <w:iCs/>
      <w:color w:val="404040" w:themeColor="text1" w:themeTint="BF"/>
    </w:rPr>
  </w:style>
  <w:style w:type="paragraph" w:styleId="ListParagraph">
    <w:name w:val="List Paragraph"/>
    <w:basedOn w:val="Normal"/>
    <w:uiPriority w:val="34"/>
    <w:qFormat/>
    <w:rsid w:val="00453DA0"/>
    <w:pPr>
      <w:ind w:left="720"/>
      <w:contextualSpacing/>
    </w:pPr>
  </w:style>
  <w:style w:type="character" w:styleId="IntenseEmphasis">
    <w:name w:val="Intense Emphasis"/>
    <w:basedOn w:val="DefaultParagraphFont"/>
    <w:uiPriority w:val="21"/>
    <w:qFormat/>
    <w:rsid w:val="00453DA0"/>
    <w:rPr>
      <w:i/>
      <w:iCs/>
      <w:color w:val="0F4761" w:themeColor="accent1" w:themeShade="BF"/>
    </w:rPr>
  </w:style>
  <w:style w:type="paragraph" w:styleId="IntenseQuote">
    <w:name w:val="Intense Quote"/>
    <w:basedOn w:val="Normal"/>
    <w:next w:val="Normal"/>
    <w:link w:val="IntenseQuoteChar"/>
    <w:uiPriority w:val="30"/>
    <w:qFormat/>
    <w:rsid w:val="00453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DA0"/>
    <w:rPr>
      <w:i/>
      <w:iCs/>
      <w:color w:val="0F4761" w:themeColor="accent1" w:themeShade="BF"/>
    </w:rPr>
  </w:style>
  <w:style w:type="character" w:styleId="IntenseReference">
    <w:name w:val="Intense Reference"/>
    <w:basedOn w:val="DefaultParagraphFont"/>
    <w:uiPriority w:val="32"/>
    <w:qFormat/>
    <w:rsid w:val="00453DA0"/>
    <w:rPr>
      <w:b/>
      <w:bCs/>
      <w:smallCaps/>
      <w:color w:val="0F4761" w:themeColor="accent1" w:themeShade="BF"/>
      <w:spacing w:val="5"/>
    </w:rPr>
  </w:style>
  <w:style w:type="paragraph" w:customStyle="1" w:styleId="Default">
    <w:name w:val="Default"/>
    <w:rsid w:val="00453DA0"/>
    <w:pPr>
      <w:autoSpaceDE w:val="0"/>
      <w:autoSpaceDN w:val="0"/>
      <w:adjustRightInd w:val="0"/>
    </w:pPr>
    <w:rPr>
      <w:rFonts w:ascii="Calibri" w:hAnsi="Calibri" w:cs="Calibri"/>
      <w:color w:val="000000"/>
      <w:kern w:val="0"/>
      <w14:ligatures w14:val="none"/>
    </w:rPr>
  </w:style>
  <w:style w:type="paragraph" w:styleId="Header">
    <w:name w:val="header"/>
    <w:basedOn w:val="Normal"/>
    <w:link w:val="HeaderChar"/>
    <w:uiPriority w:val="99"/>
    <w:unhideWhenUsed/>
    <w:rsid w:val="0011351B"/>
    <w:pPr>
      <w:tabs>
        <w:tab w:val="center" w:pos="4680"/>
        <w:tab w:val="right" w:pos="9360"/>
      </w:tabs>
    </w:pPr>
  </w:style>
  <w:style w:type="character" w:customStyle="1" w:styleId="HeaderChar">
    <w:name w:val="Header Char"/>
    <w:basedOn w:val="DefaultParagraphFont"/>
    <w:link w:val="Header"/>
    <w:uiPriority w:val="99"/>
    <w:rsid w:val="0011351B"/>
    <w:rPr>
      <w:rFonts w:ascii="CG Omega" w:eastAsia="Times New Roman" w:hAnsi="CG Omega" w:cs="Times New Roman"/>
      <w:kern w:val="0"/>
      <w:sz w:val="20"/>
      <w14:ligatures w14:val="none"/>
    </w:rPr>
  </w:style>
  <w:style w:type="paragraph" w:styleId="Footer">
    <w:name w:val="footer"/>
    <w:basedOn w:val="Normal"/>
    <w:link w:val="FooterChar"/>
    <w:uiPriority w:val="99"/>
    <w:unhideWhenUsed/>
    <w:rsid w:val="0011351B"/>
    <w:pPr>
      <w:tabs>
        <w:tab w:val="center" w:pos="4680"/>
        <w:tab w:val="right" w:pos="9360"/>
      </w:tabs>
    </w:pPr>
  </w:style>
  <w:style w:type="character" w:customStyle="1" w:styleId="FooterChar">
    <w:name w:val="Footer Char"/>
    <w:basedOn w:val="DefaultParagraphFont"/>
    <w:link w:val="Footer"/>
    <w:uiPriority w:val="99"/>
    <w:rsid w:val="0011351B"/>
    <w:rPr>
      <w:rFonts w:ascii="CG Omega" w:eastAsia="Times New Roman" w:hAnsi="CG Omega"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3824</Characters>
  <Application>Microsoft Office Word</Application>
  <DocSecurity>0</DocSecurity>
  <Lines>31</Lines>
  <Paragraphs>8</Paragraphs>
  <ScaleCrop>false</ScaleCrop>
  <Company>ITSS</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2</cp:revision>
  <dcterms:created xsi:type="dcterms:W3CDTF">2025-08-25T13:49:00Z</dcterms:created>
  <dcterms:modified xsi:type="dcterms:W3CDTF">2025-08-25T16:37:00Z</dcterms:modified>
</cp:coreProperties>
</file>