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BFF5" w14:textId="77777777" w:rsidR="00BE7693" w:rsidRPr="00742BC1" w:rsidRDefault="00BE7693" w:rsidP="00BE7693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42BC1">
        <w:rPr>
          <w:rFonts w:ascii="Times New Roman" w:hAnsi="Times New Roman" w:cs="Times New Roman"/>
          <w:b/>
          <w:bCs/>
          <w:sz w:val="22"/>
          <w:szCs w:val="22"/>
        </w:rPr>
        <w:t>A.    PRE-MOTION CONFERENCES</w:t>
      </w:r>
    </w:p>
    <w:p w14:paraId="280CF21F" w14:textId="77777777" w:rsidR="00BE7693" w:rsidRPr="0063024F" w:rsidRDefault="00BE7693" w:rsidP="00BE7693">
      <w:pPr>
        <w:pStyle w:val="PRACTICETITLE"/>
        <w:spacing w:line="276" w:lineRule="auto"/>
        <w:rPr>
          <w:sz w:val="22"/>
          <w:szCs w:val="22"/>
          <w:lang w:val="en-US"/>
        </w:rPr>
      </w:pPr>
    </w:p>
    <w:p w14:paraId="13B15A1E" w14:textId="77777777" w:rsidR="00BE7693" w:rsidRDefault="00BE7693" w:rsidP="00BE769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646B6F">
        <w:rPr>
          <w:rFonts w:ascii="Times New Roman" w:hAnsi="Times New Roman"/>
          <w:sz w:val="22"/>
          <w:szCs w:val="22"/>
          <w:u w:val="single"/>
        </w:rPr>
        <w:t>Overview</w:t>
      </w:r>
    </w:p>
    <w:p w14:paraId="15DAF5FC" w14:textId="77777777" w:rsidR="00BE7693" w:rsidRDefault="00BE7693" w:rsidP="00BE7693">
      <w:pPr>
        <w:pStyle w:val="ListParagraph"/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0C1B8A29" w14:textId="77777777" w:rsidR="00BE7693" w:rsidRPr="00646B6F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646B6F">
        <w:rPr>
          <w:rFonts w:ascii="Times New Roman" w:hAnsi="Times New Roman"/>
          <w:sz w:val="22"/>
          <w:szCs w:val="22"/>
        </w:rPr>
        <w:t>Generally, where a party seeks interim relief in divorce actions (</w:t>
      </w:r>
      <w:r w:rsidRPr="00646B6F">
        <w:rPr>
          <w:rFonts w:ascii="Times New Roman" w:hAnsi="Times New Roman"/>
          <w:i/>
          <w:iCs/>
          <w:sz w:val="22"/>
          <w:szCs w:val="22"/>
        </w:rPr>
        <w:t xml:space="preserve">Rule </w:t>
      </w:r>
      <w:r w:rsidRPr="00646B6F">
        <w:rPr>
          <w:rFonts w:ascii="Times New Roman" w:hAnsi="Times New Roman"/>
          <w:sz w:val="22"/>
          <w:szCs w:val="22"/>
        </w:rPr>
        <w:t>70) or family proceedings (</w:t>
      </w:r>
      <w:r w:rsidRPr="00646B6F">
        <w:rPr>
          <w:rFonts w:ascii="Times New Roman" w:hAnsi="Times New Roman"/>
          <w:i/>
          <w:iCs/>
          <w:sz w:val="22"/>
          <w:szCs w:val="22"/>
        </w:rPr>
        <w:t>Rule</w:t>
      </w:r>
      <w:r w:rsidRPr="00646B6F">
        <w:rPr>
          <w:rFonts w:ascii="Times New Roman" w:hAnsi="Times New Roman"/>
          <w:sz w:val="22"/>
          <w:szCs w:val="22"/>
        </w:rPr>
        <w:t xml:space="preserve"> 71), a hearing shall not be scheduled until the parties proceed through the pre-motion conference regime and the pre-motion conference judge authorizes the scheduling of the hearing. This direction also applies to matters originating with the Child Support Services Office.</w:t>
      </w:r>
    </w:p>
    <w:p w14:paraId="178FF08F" w14:textId="77777777" w:rsidR="00BE7693" w:rsidRPr="00646B6F" w:rsidRDefault="00BE7693" w:rsidP="00BE7693">
      <w:pPr>
        <w:pStyle w:val="ListParagraph"/>
        <w:spacing w:line="276" w:lineRule="auto"/>
        <w:ind w:left="1440"/>
        <w:rPr>
          <w:rFonts w:ascii="Times New Roman" w:hAnsi="Times New Roman"/>
          <w:sz w:val="22"/>
          <w:szCs w:val="22"/>
          <w:u w:val="single"/>
        </w:rPr>
      </w:pPr>
      <w:r w:rsidRPr="00646B6F">
        <w:rPr>
          <w:rFonts w:ascii="Times New Roman" w:hAnsi="Times New Roman"/>
          <w:sz w:val="22"/>
          <w:szCs w:val="22"/>
        </w:rPr>
        <w:t xml:space="preserve"> </w:t>
      </w:r>
    </w:p>
    <w:p w14:paraId="080C5121" w14:textId="77777777" w:rsidR="00BE7693" w:rsidRPr="00646B6F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646B6F">
        <w:rPr>
          <w:rFonts w:ascii="Times New Roman" w:hAnsi="Times New Roman"/>
          <w:sz w:val="22"/>
          <w:szCs w:val="22"/>
        </w:rPr>
        <w:t xml:space="preserve">Pre-motion conferences provide a forum in which issues are </w:t>
      </w:r>
      <w:proofErr w:type="gramStart"/>
      <w:r w:rsidRPr="00646B6F">
        <w:rPr>
          <w:rFonts w:ascii="Times New Roman" w:hAnsi="Times New Roman"/>
          <w:sz w:val="22"/>
          <w:szCs w:val="22"/>
        </w:rPr>
        <w:t>identified</w:t>
      </w:r>
      <w:proofErr w:type="gramEnd"/>
      <w:r w:rsidRPr="00646B6F">
        <w:rPr>
          <w:rFonts w:ascii="Times New Roman" w:hAnsi="Times New Roman"/>
          <w:sz w:val="22"/>
          <w:szCs w:val="22"/>
        </w:rPr>
        <w:t xml:space="preserve"> and resolution is explored prior to a contested hearing. The expectation is that lawyers and self-represented parties communicate with one another in advance of the pre-motion conference with a view to determining areas of agreement and outstanding issues. </w:t>
      </w:r>
    </w:p>
    <w:p w14:paraId="5B9114C9" w14:textId="77777777" w:rsidR="00BE7693" w:rsidRPr="00646B6F" w:rsidRDefault="00BE7693" w:rsidP="00BE7693">
      <w:pPr>
        <w:pStyle w:val="ListParagraph"/>
        <w:rPr>
          <w:rFonts w:ascii="Times New Roman" w:hAnsi="Times New Roman"/>
          <w:sz w:val="22"/>
          <w:szCs w:val="22"/>
          <w:u w:val="single"/>
        </w:rPr>
      </w:pPr>
    </w:p>
    <w:p w14:paraId="67D74CE4" w14:textId="77777777" w:rsidR="00BE7693" w:rsidRPr="00646B6F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646B6F">
        <w:rPr>
          <w:rFonts w:ascii="Times New Roman" w:hAnsi="Times New Roman"/>
          <w:sz w:val="22"/>
          <w:szCs w:val="22"/>
        </w:rPr>
        <w:t xml:space="preserve">The emphasis will generally be </w:t>
      </w:r>
      <w:proofErr w:type="gramStart"/>
      <w:r w:rsidRPr="00646B6F">
        <w:rPr>
          <w:rFonts w:ascii="Times New Roman" w:hAnsi="Times New Roman"/>
          <w:sz w:val="22"/>
          <w:szCs w:val="22"/>
        </w:rPr>
        <w:t>child centered</w:t>
      </w:r>
      <w:proofErr w:type="gramEnd"/>
      <w:r w:rsidRPr="00646B6F">
        <w:rPr>
          <w:rFonts w:ascii="Times New Roman" w:hAnsi="Times New Roman"/>
          <w:sz w:val="22"/>
          <w:szCs w:val="22"/>
        </w:rPr>
        <w:t xml:space="preserve">, not on other disputes between the parents. </w:t>
      </w:r>
    </w:p>
    <w:p w14:paraId="49ADB9EB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28C24636" w14:textId="77777777" w:rsidR="00BE7693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00C574A" w14:textId="77777777" w:rsidR="00BE7693" w:rsidRPr="00646B6F" w:rsidRDefault="00BE7693" w:rsidP="00BE76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46B6F">
        <w:rPr>
          <w:rFonts w:ascii="Times New Roman" w:hAnsi="Times New Roman"/>
          <w:bCs/>
          <w:sz w:val="22"/>
          <w:szCs w:val="22"/>
          <w:u w:val="single"/>
        </w:rPr>
        <w:t>Booking Motion/Application and Filing Documents</w:t>
      </w:r>
    </w:p>
    <w:p w14:paraId="347D8B46" w14:textId="77777777" w:rsidR="00BE7693" w:rsidRPr="00886BC7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F54CAA7" w14:textId="77777777" w:rsidR="00BE7693" w:rsidRPr="00886BC7" w:rsidRDefault="00BE7693" w:rsidP="00BE76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 xml:space="preserve">All contested motions and applications in the Family Section shall be preceded by a pre-motion conference, unless </w:t>
      </w:r>
      <w:r>
        <w:rPr>
          <w:rFonts w:ascii="Times New Roman" w:hAnsi="Times New Roman"/>
          <w:sz w:val="22"/>
          <w:szCs w:val="22"/>
        </w:rPr>
        <w:t>the court specifically waives the requirement of a pre-motion conference</w:t>
      </w:r>
      <w:r w:rsidRPr="00886BC7">
        <w:rPr>
          <w:rFonts w:ascii="Times New Roman" w:hAnsi="Times New Roman"/>
          <w:sz w:val="22"/>
          <w:szCs w:val="22"/>
        </w:rPr>
        <w:t>.</w:t>
      </w:r>
    </w:p>
    <w:p w14:paraId="02EF5ACA" w14:textId="77777777" w:rsidR="00BE7693" w:rsidRPr="00886BC7" w:rsidRDefault="00BE7693" w:rsidP="00BE769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37A9CFF" w14:textId="77777777" w:rsidR="00BE7693" w:rsidRPr="00886BC7" w:rsidRDefault="00BE7693" w:rsidP="00BE76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 xml:space="preserve">When the moving party contacts the </w:t>
      </w:r>
      <w:r>
        <w:rPr>
          <w:rFonts w:ascii="Times New Roman" w:hAnsi="Times New Roman"/>
          <w:sz w:val="22"/>
          <w:szCs w:val="22"/>
        </w:rPr>
        <w:t>t</w:t>
      </w:r>
      <w:r w:rsidRPr="00886BC7">
        <w:rPr>
          <w:rFonts w:ascii="Times New Roman" w:hAnsi="Times New Roman"/>
          <w:sz w:val="22"/>
          <w:szCs w:val="22"/>
        </w:rPr>
        <w:t xml:space="preserve">rial </w:t>
      </w:r>
      <w:r>
        <w:rPr>
          <w:rFonts w:ascii="Times New Roman" w:hAnsi="Times New Roman"/>
          <w:sz w:val="22"/>
          <w:szCs w:val="22"/>
        </w:rPr>
        <w:t>c</w:t>
      </w:r>
      <w:r w:rsidRPr="00886BC7">
        <w:rPr>
          <w:rFonts w:ascii="Times New Roman" w:hAnsi="Times New Roman"/>
          <w:sz w:val="22"/>
          <w:szCs w:val="22"/>
        </w:rPr>
        <w:t xml:space="preserve">oordinator or </w:t>
      </w:r>
      <w:r>
        <w:rPr>
          <w:rFonts w:ascii="Times New Roman" w:hAnsi="Times New Roman"/>
          <w:sz w:val="22"/>
          <w:szCs w:val="22"/>
        </w:rPr>
        <w:t>d</w:t>
      </w:r>
      <w:r w:rsidRPr="00886BC7">
        <w:rPr>
          <w:rFonts w:ascii="Times New Roman" w:hAnsi="Times New Roman"/>
          <w:sz w:val="22"/>
          <w:szCs w:val="22"/>
        </w:rPr>
        <w:t xml:space="preserve">eputy </w:t>
      </w:r>
      <w:r>
        <w:rPr>
          <w:rFonts w:ascii="Times New Roman" w:hAnsi="Times New Roman"/>
          <w:sz w:val="22"/>
          <w:szCs w:val="22"/>
        </w:rPr>
        <w:t>r</w:t>
      </w:r>
      <w:r w:rsidRPr="00886BC7">
        <w:rPr>
          <w:rFonts w:ascii="Times New Roman" w:hAnsi="Times New Roman"/>
          <w:sz w:val="22"/>
          <w:szCs w:val="22"/>
        </w:rPr>
        <w:t>egistrar to advise of their intention to make a motion or application, they will be given a date and time for a pre-motion conference.</w:t>
      </w:r>
    </w:p>
    <w:p w14:paraId="01E5C387" w14:textId="77777777" w:rsidR="00BE7693" w:rsidRPr="00886BC7" w:rsidRDefault="00BE7693" w:rsidP="00BE7693">
      <w:pPr>
        <w:pStyle w:val="ListParagraph"/>
        <w:rPr>
          <w:rFonts w:ascii="Times New Roman" w:hAnsi="Times New Roman"/>
          <w:bCs/>
          <w:sz w:val="22"/>
          <w:szCs w:val="22"/>
          <w:u w:val="single"/>
        </w:rPr>
      </w:pPr>
    </w:p>
    <w:p w14:paraId="668AB0D6" w14:textId="77777777" w:rsidR="00BE7693" w:rsidRPr="00886BC7" w:rsidRDefault="00BE7693" w:rsidP="00BE76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 xml:space="preserve">Non-compliance with the directions and timelines set out in the </w:t>
      </w:r>
      <w:r w:rsidRPr="00886BC7">
        <w:rPr>
          <w:rFonts w:ascii="Times New Roman" w:hAnsi="Times New Roman"/>
          <w:i/>
          <w:iCs/>
          <w:sz w:val="22"/>
          <w:szCs w:val="22"/>
        </w:rPr>
        <w:t>Rules of Civil Procedure</w:t>
      </w:r>
      <w:r w:rsidRPr="00886BC7">
        <w:rPr>
          <w:rFonts w:ascii="Times New Roman" w:hAnsi="Times New Roman"/>
          <w:sz w:val="22"/>
          <w:szCs w:val="22"/>
        </w:rPr>
        <w:t xml:space="preserve"> may result in the pre-motion conference being adjourned or rescheduled.</w:t>
      </w:r>
    </w:p>
    <w:p w14:paraId="71AEF4AF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5FEDC07A" w14:textId="77777777" w:rsidR="00BE7693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EFDFF88" w14:textId="77777777" w:rsidR="00BE7693" w:rsidRPr="00886BC7" w:rsidRDefault="00BE7693" w:rsidP="00BE76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bCs/>
          <w:sz w:val="22"/>
          <w:szCs w:val="22"/>
          <w:u w:val="single"/>
        </w:rPr>
        <w:t>Affidavits</w:t>
      </w:r>
    </w:p>
    <w:p w14:paraId="3140DDDF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208C8935" w14:textId="77777777" w:rsidR="00BE7693" w:rsidRPr="0012539E" w:rsidRDefault="00BE7693" w:rsidP="00BE7693">
      <w:pPr>
        <w:spacing w:line="276" w:lineRule="auto"/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To reduce costs and to not further intensify the dispute, affidavits on motions/applications in family matters are not to be filed and served until </w:t>
      </w:r>
      <w:r w:rsidRPr="00886BC7">
        <w:rPr>
          <w:rFonts w:ascii="Times New Roman" w:hAnsi="Times New Roman"/>
          <w:sz w:val="22"/>
          <w:szCs w:val="22"/>
          <w:u w:val="single"/>
        </w:rPr>
        <w:t>after</w:t>
      </w:r>
      <w:r w:rsidRPr="00886BC7">
        <w:rPr>
          <w:rFonts w:ascii="Times New Roman" w:hAnsi="Times New Roman"/>
          <w:sz w:val="22"/>
          <w:szCs w:val="22"/>
        </w:rPr>
        <w:t xml:space="preserve"> the pre-motion conference, and after the pre-motion conference judge has authorized a hearing.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384D">
        <w:rPr>
          <w:rFonts w:ascii="Times New Roman" w:hAnsi="Times New Roman"/>
          <w:sz w:val="22"/>
          <w:szCs w:val="22"/>
        </w:rPr>
        <w:t xml:space="preserve">For the same reasons, pre-motion conference memorandums should not contain lengthy paragraphs </w:t>
      </w:r>
      <w:proofErr w:type="gramStart"/>
      <w:r w:rsidRPr="0092384D">
        <w:rPr>
          <w:rFonts w:ascii="Times New Roman" w:hAnsi="Times New Roman"/>
          <w:sz w:val="22"/>
          <w:szCs w:val="22"/>
        </w:rPr>
        <w:t>similar to</w:t>
      </w:r>
      <w:proofErr w:type="gramEnd"/>
      <w:r w:rsidRPr="0092384D">
        <w:rPr>
          <w:rFonts w:ascii="Times New Roman" w:hAnsi="Times New Roman"/>
          <w:sz w:val="22"/>
          <w:szCs w:val="22"/>
        </w:rPr>
        <w:t xml:space="preserve"> what might be included in an affidavit.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A787DE3" w14:textId="77777777" w:rsidR="00BE7693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0B8239D2" w14:textId="77777777" w:rsidR="00BE7693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5066C8E2" w14:textId="77777777" w:rsidR="00FD47F0" w:rsidRDefault="00FD47F0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2404D9DB" w14:textId="77777777" w:rsidR="00FD47F0" w:rsidRDefault="00FD47F0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1DF0E44A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3D72AACC" w14:textId="77777777" w:rsidR="00BE7693" w:rsidRPr="00CE4AFC" w:rsidRDefault="00BE7693" w:rsidP="00BE76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CE4AFC">
        <w:rPr>
          <w:rFonts w:ascii="Times New Roman" w:hAnsi="Times New Roman"/>
          <w:bCs/>
          <w:sz w:val="22"/>
          <w:szCs w:val="22"/>
          <w:u w:val="single"/>
        </w:rPr>
        <w:lastRenderedPageBreak/>
        <w:t>Financial Information</w:t>
      </w:r>
    </w:p>
    <w:p w14:paraId="730F2B9F" w14:textId="77777777" w:rsidR="00BE7693" w:rsidRPr="00B42F95" w:rsidRDefault="00BE7693" w:rsidP="00BE7693">
      <w:pPr>
        <w:pStyle w:val="ListParagraph"/>
        <w:spacing w:line="360" w:lineRule="auto"/>
        <w:rPr>
          <w:rFonts w:ascii="Times New Roman" w:hAnsi="Times New Roman"/>
          <w:sz w:val="22"/>
          <w:szCs w:val="22"/>
          <w:highlight w:val="yellow"/>
          <w:u w:val="single"/>
        </w:rPr>
      </w:pPr>
    </w:p>
    <w:p w14:paraId="280978F6" w14:textId="77777777" w:rsidR="00BE7693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F05B4">
        <w:rPr>
          <w:rFonts w:ascii="Times New Roman" w:hAnsi="Times New Roman"/>
          <w:sz w:val="22"/>
          <w:szCs w:val="22"/>
        </w:rPr>
        <w:t xml:space="preserve">Lawyers and self-represented parties are reminded of the financial and income disclosure obligations, including for those individuals who are self-employed, or a partner in a partnership, as set out in s. 21 of the </w:t>
      </w:r>
      <w:r w:rsidRPr="001F05B4">
        <w:rPr>
          <w:rFonts w:ascii="Times New Roman" w:hAnsi="Times New Roman"/>
          <w:i/>
          <w:iCs/>
          <w:sz w:val="22"/>
          <w:szCs w:val="22"/>
        </w:rPr>
        <w:t xml:space="preserve">Federal Child Support Guidelines, </w:t>
      </w:r>
      <w:r w:rsidRPr="001F05B4">
        <w:rPr>
          <w:rFonts w:ascii="Times New Roman" w:hAnsi="Times New Roman"/>
          <w:sz w:val="22"/>
          <w:szCs w:val="22"/>
        </w:rPr>
        <w:t xml:space="preserve">SOR/97-175. </w:t>
      </w:r>
    </w:p>
    <w:p w14:paraId="0E723522" w14:textId="77777777" w:rsidR="00BE7693" w:rsidRDefault="00BE7693" w:rsidP="00BE7693">
      <w:pPr>
        <w:pStyle w:val="ListParagraph"/>
        <w:spacing w:line="276" w:lineRule="auto"/>
        <w:ind w:left="1440"/>
        <w:rPr>
          <w:rFonts w:ascii="Times New Roman" w:hAnsi="Times New Roman"/>
          <w:sz w:val="22"/>
          <w:szCs w:val="22"/>
        </w:rPr>
      </w:pPr>
    </w:p>
    <w:p w14:paraId="4E6D22EE" w14:textId="77777777" w:rsidR="00BE7693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F05B4">
        <w:rPr>
          <w:rFonts w:ascii="Times New Roman" w:hAnsi="Times New Roman"/>
          <w:sz w:val="22"/>
          <w:szCs w:val="22"/>
        </w:rPr>
        <w:t xml:space="preserve">Ideally, parties should attach to the pre-motion conference memorandum (Form 70 BB) income documentation for the previous three years. However, at a minimum, parties are required to attach to the pre-motion conference memorandum, </w:t>
      </w:r>
      <w:r>
        <w:rPr>
          <w:rFonts w:ascii="Times New Roman" w:hAnsi="Times New Roman"/>
          <w:sz w:val="22"/>
          <w:szCs w:val="22"/>
        </w:rPr>
        <w:t xml:space="preserve">their </w:t>
      </w:r>
      <w:r w:rsidRPr="001F05B4">
        <w:rPr>
          <w:rFonts w:ascii="Times New Roman" w:hAnsi="Times New Roman"/>
          <w:sz w:val="22"/>
          <w:szCs w:val="22"/>
        </w:rPr>
        <w:t>most recent income tax return with schedules; most recent notice of assessment or reassessment; and, proof of current income (such as pay stub with year to date income; statement of employment insurance benefits; statement of other benefits; and, documentation of self-employment income or partnership income).</w:t>
      </w:r>
    </w:p>
    <w:p w14:paraId="4BE1EC89" w14:textId="77777777" w:rsidR="00BE7693" w:rsidRPr="001F05B4" w:rsidRDefault="00BE7693" w:rsidP="00BE7693">
      <w:pPr>
        <w:pStyle w:val="ListParagraph"/>
        <w:rPr>
          <w:rFonts w:ascii="Times New Roman" w:hAnsi="Times New Roman"/>
          <w:sz w:val="22"/>
          <w:szCs w:val="22"/>
        </w:rPr>
      </w:pPr>
    </w:p>
    <w:p w14:paraId="353C2913" w14:textId="77777777" w:rsidR="00BE7693" w:rsidRPr="001F05B4" w:rsidRDefault="00BE7693" w:rsidP="00BE769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F05B4">
        <w:rPr>
          <w:rFonts w:ascii="Times New Roman" w:hAnsi="Times New Roman"/>
          <w:sz w:val="22"/>
          <w:szCs w:val="22"/>
        </w:rPr>
        <w:t xml:space="preserve">The court will generally not </w:t>
      </w:r>
      <w:proofErr w:type="gramStart"/>
      <w:r w:rsidRPr="001F05B4">
        <w:rPr>
          <w:rFonts w:ascii="Times New Roman" w:hAnsi="Times New Roman"/>
          <w:sz w:val="22"/>
          <w:szCs w:val="22"/>
        </w:rPr>
        <w:t>accept</w:t>
      </w:r>
      <w:proofErr w:type="gramEnd"/>
      <w:r w:rsidRPr="001F05B4">
        <w:rPr>
          <w:rFonts w:ascii="Times New Roman" w:hAnsi="Times New Roman"/>
          <w:sz w:val="22"/>
          <w:szCs w:val="22"/>
        </w:rPr>
        <w:t xml:space="preserve"> for filing a pre-motion conference memorandum that is not accompanied by these documents. Requests for exemptions may be made to the Registrar.  </w:t>
      </w:r>
    </w:p>
    <w:p w14:paraId="6000878E" w14:textId="77777777" w:rsidR="00BE7693" w:rsidRPr="00B42F95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B42F95">
        <w:rPr>
          <w:rFonts w:ascii="Times New Roman" w:hAnsi="Times New Roman"/>
          <w:sz w:val="22"/>
          <w:szCs w:val="22"/>
        </w:rPr>
        <w:t xml:space="preserve">    </w:t>
      </w:r>
    </w:p>
    <w:p w14:paraId="0F5D41A2" w14:textId="77777777" w:rsidR="00BE7693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7AB9EAD" w14:textId="77777777" w:rsidR="00BE7693" w:rsidRPr="00886BC7" w:rsidRDefault="00BE7693" w:rsidP="00BE76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bCs/>
          <w:sz w:val="22"/>
          <w:szCs w:val="22"/>
          <w:u w:val="single"/>
        </w:rPr>
        <w:t>Notice to Director of Child Protection</w:t>
      </w:r>
    </w:p>
    <w:p w14:paraId="5DF2F683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4CE7EB1D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886BC7">
        <w:rPr>
          <w:rFonts w:ascii="Times New Roman" w:hAnsi="Times New Roman"/>
          <w:sz w:val="22"/>
          <w:szCs w:val="22"/>
        </w:rPr>
        <w:t xml:space="preserve"> </w:t>
      </w:r>
      <w:r w:rsidRPr="00886BC7">
        <w:rPr>
          <w:rFonts w:ascii="Times New Roman" w:hAnsi="Times New Roman"/>
          <w:sz w:val="22"/>
          <w:szCs w:val="22"/>
        </w:rPr>
        <w:tab/>
        <w:t xml:space="preserve">The </w:t>
      </w:r>
      <w:r w:rsidRPr="00886BC7">
        <w:rPr>
          <w:rFonts w:ascii="Times New Roman" w:hAnsi="Times New Roman"/>
          <w:i/>
          <w:iCs/>
          <w:sz w:val="22"/>
          <w:szCs w:val="22"/>
        </w:rPr>
        <w:t>Rules</w:t>
      </w:r>
      <w:r w:rsidRPr="00886BC7">
        <w:rPr>
          <w:rFonts w:ascii="Times New Roman" w:hAnsi="Times New Roman"/>
          <w:sz w:val="22"/>
          <w:szCs w:val="22"/>
        </w:rPr>
        <w:t xml:space="preserve"> require that notice be given to the Director of Child Protection when a parenting order or contact order is claimed. Notice to the Director of Child Protection is to be provided on a timely basis, to ensure a response from the Director prior to the scheduling of a pre-motion conference. Unless otherwise ordered by the court, a pre-motion conference shall not proceed until any applicable report of the Director has been served on the parties and filed.</w:t>
      </w:r>
    </w:p>
    <w:p w14:paraId="7833841C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B60186F" w14:textId="77777777" w:rsidR="00BE7693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60965AAD" w14:textId="77777777" w:rsidR="00BE7693" w:rsidRPr="00886BC7" w:rsidRDefault="00BE7693" w:rsidP="00BE76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bCs/>
          <w:sz w:val="22"/>
          <w:szCs w:val="22"/>
          <w:u w:val="single"/>
        </w:rPr>
        <w:t>Results of Pre-motion Conference</w:t>
      </w:r>
    </w:p>
    <w:p w14:paraId="03217E89" w14:textId="77777777" w:rsidR="00BE7693" w:rsidRPr="00886BC7" w:rsidRDefault="00BE7693" w:rsidP="00BE7693">
      <w:pPr>
        <w:pStyle w:val="ListParagraph"/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6FFFF86" w14:textId="77777777" w:rsidR="00BE7693" w:rsidRPr="00886BC7" w:rsidRDefault="00BE7693" w:rsidP="00BE76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>The pre-motion conference judge shall determine future steps, including what issues, if any, are authorized for a</w:t>
      </w:r>
      <w:r>
        <w:rPr>
          <w:rFonts w:ascii="Times New Roman" w:hAnsi="Times New Roman"/>
          <w:sz w:val="22"/>
          <w:szCs w:val="22"/>
        </w:rPr>
        <w:t>n interim</w:t>
      </w:r>
      <w:r w:rsidRPr="00886BC7">
        <w:rPr>
          <w:rFonts w:ascii="Times New Roman" w:hAnsi="Times New Roman"/>
          <w:sz w:val="22"/>
          <w:szCs w:val="22"/>
        </w:rPr>
        <w:t xml:space="preserve"> hearing</w:t>
      </w:r>
      <w:r>
        <w:rPr>
          <w:rFonts w:ascii="Times New Roman" w:hAnsi="Times New Roman"/>
          <w:sz w:val="22"/>
          <w:szCs w:val="22"/>
        </w:rPr>
        <w:t xml:space="preserve">, or an application, and </w:t>
      </w:r>
      <w:r w:rsidRPr="00886BC7">
        <w:rPr>
          <w:rFonts w:ascii="Times New Roman" w:hAnsi="Times New Roman"/>
          <w:sz w:val="22"/>
          <w:szCs w:val="22"/>
        </w:rPr>
        <w:t xml:space="preserve">what issues, if any, are for trial. Generally, the pre-motion conference judge will prepare a pre-motion conference report, which </w:t>
      </w:r>
      <w:r>
        <w:rPr>
          <w:rFonts w:ascii="Times New Roman" w:hAnsi="Times New Roman"/>
          <w:sz w:val="22"/>
          <w:szCs w:val="22"/>
        </w:rPr>
        <w:t>is</w:t>
      </w:r>
      <w:r w:rsidRPr="00886BC7">
        <w:rPr>
          <w:rFonts w:ascii="Times New Roman" w:hAnsi="Times New Roman"/>
          <w:sz w:val="22"/>
          <w:szCs w:val="22"/>
        </w:rPr>
        <w:t xml:space="preserve"> provided to the lawyers and self-represented parties, and filed.</w:t>
      </w:r>
    </w:p>
    <w:p w14:paraId="15FA828A" w14:textId="77777777" w:rsidR="00BE7693" w:rsidRPr="00886BC7" w:rsidRDefault="00BE7693" w:rsidP="00BE7693">
      <w:pPr>
        <w:pStyle w:val="ListParagraph"/>
        <w:spacing w:line="276" w:lineRule="auto"/>
        <w:ind w:left="1440"/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66E9DDB" w14:textId="77777777" w:rsidR="00BE7693" w:rsidRPr="00886BC7" w:rsidRDefault="00BE7693" w:rsidP="00BE76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886BC7">
        <w:rPr>
          <w:rFonts w:ascii="Times New Roman" w:hAnsi="Times New Roman"/>
          <w:sz w:val="22"/>
          <w:szCs w:val="22"/>
        </w:rPr>
        <w:t xml:space="preserve">Statements of the parties made at a pre-motion conference are confidential to the parties and their lawyers and shall not be disclosed to the hearing judge. </w:t>
      </w:r>
    </w:p>
    <w:p w14:paraId="1CAABD77" w14:textId="77777777" w:rsidR="00BE7693" w:rsidRPr="00886BC7" w:rsidRDefault="00BE7693" w:rsidP="00BE7693">
      <w:pPr>
        <w:spacing w:line="276" w:lineRule="auto"/>
        <w:ind w:left="720" w:hanging="720"/>
        <w:jc w:val="both"/>
        <w:rPr>
          <w:rFonts w:ascii="Times New Roman" w:hAnsi="Times New Roman"/>
          <w:sz w:val="22"/>
          <w:szCs w:val="22"/>
        </w:rPr>
      </w:pPr>
    </w:p>
    <w:p w14:paraId="7F897F1C" w14:textId="77777777" w:rsidR="00BE7693" w:rsidRDefault="00BE7693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37A07D39" w14:textId="77777777" w:rsidR="00FD47F0" w:rsidRDefault="00FD47F0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0C96F3B0" w14:textId="77777777" w:rsidR="00FD47F0" w:rsidRDefault="00FD47F0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66FDDB50" w14:textId="77777777" w:rsidR="00FD47F0" w:rsidRDefault="00FD47F0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558520B4" w14:textId="77777777" w:rsidR="00FD47F0" w:rsidRDefault="00FD47F0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58DE58E5" w14:textId="77777777" w:rsidR="00BE7693" w:rsidRDefault="00BE7693" w:rsidP="00BE7693">
      <w:pPr>
        <w:pStyle w:val="xmsolistparagraph"/>
        <w:spacing w:line="276" w:lineRule="auto"/>
        <w:rPr>
          <w:rFonts w:ascii="Times New Roman" w:hAnsi="Times New Roman" w:cs="Times New Roman"/>
          <w:u w:val="single"/>
        </w:rPr>
      </w:pPr>
    </w:p>
    <w:p w14:paraId="65052F9E" w14:textId="77777777" w:rsidR="00BE7693" w:rsidRPr="00886BC7" w:rsidRDefault="00BE7693" w:rsidP="00BE7693">
      <w:pPr>
        <w:pStyle w:val="xmso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u w:val="single"/>
        </w:rPr>
      </w:pPr>
      <w:r w:rsidRPr="00886BC7">
        <w:rPr>
          <w:rFonts w:ascii="Times New Roman" w:hAnsi="Times New Roman" w:cs="Times New Roman"/>
          <w:u w:val="single"/>
        </w:rPr>
        <w:lastRenderedPageBreak/>
        <w:t>Additional Pre-Motion Conference</w:t>
      </w:r>
    </w:p>
    <w:p w14:paraId="1300A5DB" w14:textId="77777777" w:rsidR="00BE7693" w:rsidRPr="00886BC7" w:rsidRDefault="00BE7693" w:rsidP="00BE7693">
      <w:pPr>
        <w:pStyle w:val="xmsolistparagraph"/>
        <w:spacing w:line="276" w:lineRule="auto"/>
        <w:ind w:left="0"/>
        <w:rPr>
          <w:rFonts w:ascii="Times New Roman" w:hAnsi="Times New Roman" w:cs="Times New Roman"/>
          <w:b/>
          <w:bCs/>
          <w:u w:val="single"/>
        </w:rPr>
      </w:pPr>
    </w:p>
    <w:p w14:paraId="1AE773CA" w14:textId="77777777" w:rsidR="00BE7693" w:rsidRPr="00886BC7" w:rsidRDefault="00BE7693" w:rsidP="00BE7693">
      <w:pPr>
        <w:pStyle w:val="xmsolistparagraph"/>
        <w:spacing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Occasionally, </w:t>
      </w:r>
      <w:r>
        <w:rPr>
          <w:rFonts w:ascii="Times New Roman" w:hAnsi="Times New Roman" w:cs="Times New Roman"/>
        </w:rPr>
        <w:t xml:space="preserve">a lawyer or self-represented party requests the court schedule </w:t>
      </w:r>
      <w:r w:rsidRPr="00886BC7">
        <w:rPr>
          <w:rFonts w:ascii="Times New Roman" w:hAnsi="Times New Roman" w:cs="Times New Roman"/>
        </w:rPr>
        <w:t xml:space="preserve">a continuation of a pre-motion conference or a subsequent pre-motion conference. In such circumstances, the party making the request is to provide details as requested by the trial coordinator, </w:t>
      </w:r>
      <w:r>
        <w:rPr>
          <w:rFonts w:ascii="Times New Roman" w:hAnsi="Times New Roman" w:cs="Times New Roman"/>
        </w:rPr>
        <w:t>and the court will</w:t>
      </w:r>
      <w:r w:rsidRPr="00886BC7">
        <w:rPr>
          <w:rFonts w:ascii="Times New Roman" w:hAnsi="Times New Roman" w:cs="Times New Roman"/>
        </w:rPr>
        <w:t xml:space="preserve"> generally </w:t>
      </w:r>
      <w:r>
        <w:rPr>
          <w:rFonts w:ascii="Times New Roman" w:hAnsi="Times New Roman" w:cs="Times New Roman"/>
        </w:rPr>
        <w:t>require</w:t>
      </w:r>
      <w:r w:rsidRPr="00886BC7">
        <w:rPr>
          <w:rFonts w:ascii="Times New Roman" w:hAnsi="Times New Roman" w:cs="Times New Roman"/>
        </w:rPr>
        <w:t xml:space="preserve"> the following:</w:t>
      </w:r>
    </w:p>
    <w:p w14:paraId="3C51CCD2" w14:textId="77777777" w:rsidR="00BE7693" w:rsidRPr="00886BC7" w:rsidRDefault="00BE7693" w:rsidP="00BE7693">
      <w:pPr>
        <w:pStyle w:val="xmsolistparagraph"/>
        <w:spacing w:line="276" w:lineRule="auto"/>
        <w:ind w:left="0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 </w:t>
      </w:r>
    </w:p>
    <w:p w14:paraId="292B7639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court file number and full names of the </w:t>
      </w:r>
      <w:proofErr w:type="gramStart"/>
      <w:r w:rsidRPr="00886BC7">
        <w:rPr>
          <w:rFonts w:ascii="Times New Roman" w:hAnsi="Times New Roman" w:cs="Times New Roman"/>
        </w:rPr>
        <w:t>parties;</w:t>
      </w:r>
      <w:proofErr w:type="gramEnd"/>
    </w:p>
    <w:p w14:paraId="03632BB2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names and ages of children who may be subject to the </w:t>
      </w:r>
      <w:proofErr w:type="gramStart"/>
      <w:r w:rsidRPr="00886BC7">
        <w:rPr>
          <w:rFonts w:ascii="Times New Roman" w:hAnsi="Times New Roman" w:cs="Times New Roman"/>
        </w:rPr>
        <w:t>proceeding;</w:t>
      </w:r>
      <w:proofErr w:type="gramEnd"/>
    </w:p>
    <w:p w14:paraId="0E900DFB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if the Office of the Children’s Lawyer is involved, the name of the </w:t>
      </w:r>
      <w:proofErr w:type="gramStart"/>
      <w:r w:rsidRPr="00886BC7">
        <w:rPr>
          <w:rFonts w:ascii="Times New Roman" w:hAnsi="Times New Roman" w:cs="Times New Roman"/>
        </w:rPr>
        <w:t>lawyer;</w:t>
      </w:r>
      <w:proofErr w:type="gramEnd"/>
    </w:p>
    <w:p w14:paraId="47750025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names of the lawyers of </w:t>
      </w:r>
      <w:proofErr w:type="gramStart"/>
      <w:r w:rsidRPr="00886BC7">
        <w:rPr>
          <w:rFonts w:ascii="Times New Roman" w:hAnsi="Times New Roman" w:cs="Times New Roman"/>
        </w:rPr>
        <w:t>record;</w:t>
      </w:r>
      <w:proofErr w:type="gramEnd"/>
      <w:r w:rsidRPr="00886BC7">
        <w:rPr>
          <w:rFonts w:ascii="Times New Roman" w:hAnsi="Times New Roman" w:cs="Times New Roman"/>
        </w:rPr>
        <w:t xml:space="preserve"> </w:t>
      </w:r>
    </w:p>
    <w:p w14:paraId="6E935A7D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date of the last pre-motion conference </w:t>
      </w:r>
      <w:proofErr w:type="gramStart"/>
      <w:r w:rsidRPr="00886BC7">
        <w:rPr>
          <w:rFonts w:ascii="Times New Roman" w:hAnsi="Times New Roman" w:cs="Times New Roman"/>
        </w:rPr>
        <w:t>held;</w:t>
      </w:r>
      <w:proofErr w:type="gramEnd"/>
    </w:p>
    <w:p w14:paraId="26035F74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name of the judge who presided over the last pre-motion </w:t>
      </w:r>
      <w:proofErr w:type="gramStart"/>
      <w:r w:rsidRPr="00886BC7">
        <w:rPr>
          <w:rFonts w:ascii="Times New Roman" w:hAnsi="Times New Roman" w:cs="Times New Roman"/>
        </w:rPr>
        <w:t>conference;</w:t>
      </w:r>
      <w:proofErr w:type="gramEnd"/>
      <w:r w:rsidRPr="00886BC7">
        <w:rPr>
          <w:rFonts w:ascii="Times New Roman" w:hAnsi="Times New Roman" w:cs="Times New Roman"/>
        </w:rPr>
        <w:t xml:space="preserve"> </w:t>
      </w:r>
    </w:p>
    <w:p w14:paraId="6A71AA4C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if the matter is currently in case management, the name of the </w:t>
      </w:r>
      <w:r>
        <w:rPr>
          <w:rFonts w:ascii="Times New Roman" w:hAnsi="Times New Roman" w:cs="Times New Roman"/>
        </w:rPr>
        <w:t xml:space="preserve">case management </w:t>
      </w:r>
      <w:r w:rsidRPr="00886BC7">
        <w:rPr>
          <w:rFonts w:ascii="Times New Roman" w:hAnsi="Times New Roman" w:cs="Times New Roman"/>
        </w:rPr>
        <w:t xml:space="preserve">judge, date of the last case management call, and whether the case management judge </w:t>
      </w:r>
      <w:r>
        <w:rPr>
          <w:rFonts w:ascii="Times New Roman" w:hAnsi="Times New Roman" w:cs="Times New Roman"/>
        </w:rPr>
        <w:t xml:space="preserve">has </w:t>
      </w:r>
      <w:r w:rsidRPr="00886BC7">
        <w:rPr>
          <w:rFonts w:ascii="Times New Roman" w:hAnsi="Times New Roman" w:cs="Times New Roman"/>
        </w:rPr>
        <w:t xml:space="preserve">authorized a further pre-motion </w:t>
      </w:r>
      <w:proofErr w:type="gramStart"/>
      <w:r w:rsidRPr="00886BC7">
        <w:rPr>
          <w:rFonts w:ascii="Times New Roman" w:hAnsi="Times New Roman" w:cs="Times New Roman"/>
        </w:rPr>
        <w:t>conference;</w:t>
      </w:r>
      <w:proofErr w:type="gramEnd"/>
    </w:p>
    <w:p w14:paraId="259F188D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886BC7">
        <w:rPr>
          <w:rFonts w:ascii="Times New Roman" w:hAnsi="Times New Roman" w:cs="Times New Roman"/>
        </w:rPr>
        <w:t xml:space="preserve">f there is an existing court order involving the parties, the date of the most recent </w:t>
      </w:r>
      <w:proofErr w:type="gramStart"/>
      <w:r w:rsidRPr="00886BC7">
        <w:rPr>
          <w:rFonts w:ascii="Times New Roman" w:hAnsi="Times New Roman" w:cs="Times New Roman"/>
        </w:rPr>
        <w:t>order;</w:t>
      </w:r>
      <w:proofErr w:type="gramEnd"/>
    </w:p>
    <w:p w14:paraId="637DA520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relief that is requested in the </w:t>
      </w:r>
      <w:r>
        <w:rPr>
          <w:rFonts w:ascii="Times New Roman" w:hAnsi="Times New Roman" w:cs="Times New Roman"/>
        </w:rPr>
        <w:t>underlying m</w:t>
      </w:r>
      <w:r w:rsidRPr="00886BC7">
        <w:rPr>
          <w:rFonts w:ascii="Times New Roman" w:hAnsi="Times New Roman" w:cs="Times New Roman"/>
        </w:rPr>
        <w:t>otion</w:t>
      </w:r>
      <w:r>
        <w:rPr>
          <w:rFonts w:ascii="Times New Roman" w:hAnsi="Times New Roman" w:cs="Times New Roman"/>
        </w:rPr>
        <w:t xml:space="preserve"> or </w:t>
      </w:r>
      <w:proofErr w:type="gramStart"/>
      <w:r>
        <w:rPr>
          <w:rFonts w:ascii="Times New Roman" w:hAnsi="Times New Roman" w:cs="Times New Roman"/>
        </w:rPr>
        <w:t>a</w:t>
      </w:r>
      <w:r w:rsidRPr="00886BC7">
        <w:rPr>
          <w:rFonts w:ascii="Times New Roman" w:hAnsi="Times New Roman" w:cs="Times New Roman"/>
        </w:rPr>
        <w:t>pplication;</w:t>
      </w:r>
      <w:proofErr w:type="gramEnd"/>
      <w:r w:rsidRPr="00886BC7">
        <w:rPr>
          <w:rFonts w:ascii="Times New Roman" w:hAnsi="Times New Roman" w:cs="Times New Roman"/>
        </w:rPr>
        <w:t xml:space="preserve"> </w:t>
      </w:r>
    </w:p>
    <w:p w14:paraId="66349689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 xml:space="preserve">the issues the party wants to address at the pre-motion </w:t>
      </w:r>
      <w:proofErr w:type="gramStart"/>
      <w:r w:rsidRPr="00886BC7">
        <w:rPr>
          <w:rFonts w:ascii="Times New Roman" w:hAnsi="Times New Roman" w:cs="Times New Roman"/>
        </w:rPr>
        <w:t>conference;</w:t>
      </w:r>
      <w:proofErr w:type="gramEnd"/>
      <w:r w:rsidRPr="00886BC7">
        <w:rPr>
          <w:rFonts w:ascii="Times New Roman" w:hAnsi="Times New Roman" w:cs="Times New Roman"/>
        </w:rPr>
        <w:t xml:space="preserve"> </w:t>
      </w:r>
    </w:p>
    <w:p w14:paraId="0A8004C7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>what efforts the parties/lawyers have pursued to try and reach agreement on the issues, before requesting a further pre-motion conference; and</w:t>
      </w:r>
    </w:p>
    <w:p w14:paraId="6C43F532" w14:textId="77777777" w:rsidR="00BE7693" w:rsidRPr="00886BC7" w:rsidRDefault="00BE7693" w:rsidP="00BE7693">
      <w:pPr>
        <w:pStyle w:val="xmsolistparagraph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886BC7">
        <w:rPr>
          <w:rFonts w:ascii="Times New Roman" w:hAnsi="Times New Roman" w:cs="Times New Roman"/>
        </w:rPr>
        <w:t>whether the Director of Child Protection has intervened.</w:t>
      </w:r>
    </w:p>
    <w:p w14:paraId="5815AD67" w14:textId="06227422" w:rsidR="00ED1BFF" w:rsidRDefault="00BE7693" w:rsidP="00BE7693">
      <w:r w:rsidRPr="004F7811">
        <w:rPr>
          <w:rFonts w:ascii="Times New Roman" w:hAnsi="Times New Roman"/>
          <w:sz w:val="22"/>
          <w:szCs w:val="22"/>
        </w:rPr>
        <w:t xml:space="preserve">Once such a request is received and the above information is provided, the court will provide </w:t>
      </w:r>
      <w:proofErr w:type="gramStart"/>
      <w:r w:rsidRPr="004F7811">
        <w:rPr>
          <w:rFonts w:ascii="Times New Roman" w:hAnsi="Times New Roman"/>
          <w:sz w:val="22"/>
          <w:szCs w:val="22"/>
        </w:rPr>
        <w:t>direction</w:t>
      </w:r>
      <w:proofErr w:type="gramEnd"/>
      <w:r w:rsidRPr="004F7811">
        <w:rPr>
          <w:rFonts w:ascii="Times New Roman" w:hAnsi="Times New Roman"/>
          <w:sz w:val="22"/>
          <w:szCs w:val="22"/>
        </w:rPr>
        <w:t>.</w:t>
      </w:r>
    </w:p>
    <w:sectPr w:rsidR="00ED1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70BD" w14:textId="77777777" w:rsidR="00FD47F0" w:rsidRDefault="00FD47F0" w:rsidP="00FD47F0">
      <w:r>
        <w:separator/>
      </w:r>
    </w:p>
  </w:endnote>
  <w:endnote w:type="continuationSeparator" w:id="0">
    <w:p w14:paraId="03467B78" w14:textId="77777777" w:rsidR="00FD47F0" w:rsidRDefault="00FD47F0" w:rsidP="00F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433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35ACC" w14:textId="0E7065F0" w:rsidR="00FD47F0" w:rsidRDefault="00FD4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C574B" w14:textId="77777777" w:rsidR="00FD47F0" w:rsidRDefault="00FD4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04D8" w14:textId="77777777" w:rsidR="00FD47F0" w:rsidRDefault="00FD47F0" w:rsidP="00FD47F0">
      <w:r>
        <w:separator/>
      </w:r>
    </w:p>
  </w:footnote>
  <w:footnote w:type="continuationSeparator" w:id="0">
    <w:p w14:paraId="3E23C85B" w14:textId="77777777" w:rsidR="00FD47F0" w:rsidRDefault="00FD47F0" w:rsidP="00FD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520F"/>
    <w:multiLevelType w:val="hybridMultilevel"/>
    <w:tmpl w:val="1338A4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03725B"/>
    <w:multiLevelType w:val="hybridMultilevel"/>
    <w:tmpl w:val="A2CCF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847810">
    <w:abstractNumId w:val="0"/>
  </w:num>
  <w:num w:numId="2" w16cid:durableId="208197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93"/>
    <w:rsid w:val="000824AF"/>
    <w:rsid w:val="003E4C92"/>
    <w:rsid w:val="00424F8B"/>
    <w:rsid w:val="004B03A6"/>
    <w:rsid w:val="004C60FA"/>
    <w:rsid w:val="008D7D56"/>
    <w:rsid w:val="009230C7"/>
    <w:rsid w:val="00B42811"/>
    <w:rsid w:val="00BE7693"/>
    <w:rsid w:val="00D62ABD"/>
    <w:rsid w:val="00E864A0"/>
    <w:rsid w:val="00ED1BFF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FA2B"/>
  <w15:chartTrackingRefBased/>
  <w15:docId w15:val="{0944D288-08DC-4B2C-97C0-9A06363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93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6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6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6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6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6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6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6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6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6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6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6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6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6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6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6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6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693"/>
    <w:rPr>
      <w:b/>
      <w:bCs/>
      <w:smallCaps/>
      <w:color w:val="0F4761" w:themeColor="accent1" w:themeShade="BF"/>
      <w:spacing w:val="5"/>
    </w:rPr>
  </w:style>
  <w:style w:type="paragraph" w:customStyle="1" w:styleId="PRACTICETITLE">
    <w:name w:val="PRACTICETITLE"/>
    <w:basedOn w:val="Normal"/>
    <w:rsid w:val="00BE7693"/>
    <w:pPr>
      <w:spacing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Default">
    <w:name w:val="Default"/>
    <w:rsid w:val="00BE7693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customStyle="1" w:styleId="xmsolistparagraph">
    <w:name w:val="x_msolistparagraph"/>
    <w:basedOn w:val="Normal"/>
    <w:rsid w:val="00BE7693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D4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7F0"/>
    <w:rPr>
      <w:rFonts w:ascii="CG Omega" w:eastAsia="Times New Roman" w:hAnsi="CG Omega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4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F0"/>
    <w:rPr>
      <w:rFonts w:ascii="CG Omega" w:eastAsia="Times New Roman" w:hAnsi="CG Omega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Company>ITSS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Karen Rose</cp:lastModifiedBy>
  <cp:revision>2</cp:revision>
  <dcterms:created xsi:type="dcterms:W3CDTF">2025-08-25T13:42:00Z</dcterms:created>
  <dcterms:modified xsi:type="dcterms:W3CDTF">2025-08-25T16:36:00Z</dcterms:modified>
</cp:coreProperties>
</file>