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4F2B" w14:textId="77777777" w:rsidR="00CC780E" w:rsidRPr="00D0360D" w:rsidRDefault="00CC780E" w:rsidP="00CC780E">
      <w:pPr>
        <w:pStyle w:val="Default"/>
        <w:spacing w:line="276" w:lineRule="auto"/>
        <w:ind w:left="720"/>
        <w:jc w:val="center"/>
        <w:rPr>
          <w:rFonts w:ascii="Times New Roman" w:hAnsi="Times New Roman" w:cs="Times New Roman"/>
          <w:b/>
          <w:bCs/>
          <w:sz w:val="22"/>
          <w:szCs w:val="22"/>
        </w:rPr>
      </w:pPr>
      <w:r>
        <w:rPr>
          <w:rFonts w:ascii="Times New Roman" w:hAnsi="Times New Roman" w:cs="Times New Roman"/>
          <w:b/>
          <w:bCs/>
          <w:sz w:val="22"/>
          <w:szCs w:val="22"/>
        </w:rPr>
        <w:t>A</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161494">
        <w:rPr>
          <w:rFonts w:ascii="Times New Roman" w:hAnsi="Times New Roman"/>
          <w:b/>
          <w:bCs/>
          <w:sz w:val="22"/>
          <w:szCs w:val="22"/>
        </w:rPr>
        <w:t>CASE MANAGEMENT</w:t>
      </w:r>
    </w:p>
    <w:p w14:paraId="5B1D18AF" w14:textId="77777777" w:rsidR="00CC780E" w:rsidRDefault="00CC780E" w:rsidP="00CC780E">
      <w:pPr>
        <w:widowControl/>
        <w:autoSpaceDE/>
        <w:autoSpaceDN/>
        <w:adjustRightInd/>
        <w:spacing w:line="276" w:lineRule="auto"/>
        <w:ind w:left="90"/>
        <w:jc w:val="center"/>
        <w:rPr>
          <w:rFonts w:ascii="Times New Roman" w:hAnsi="Times New Roman"/>
          <w:b/>
          <w:bCs/>
          <w:sz w:val="22"/>
          <w:szCs w:val="22"/>
        </w:rPr>
      </w:pPr>
    </w:p>
    <w:p w14:paraId="0648D95B" w14:textId="77777777" w:rsidR="00CC780E" w:rsidRPr="00CA1ABA" w:rsidRDefault="00CC780E" w:rsidP="00CC780E">
      <w:pPr>
        <w:pStyle w:val="ListParagraph"/>
        <w:numPr>
          <w:ilvl w:val="0"/>
          <w:numId w:val="1"/>
        </w:numPr>
        <w:spacing w:after="200" w:line="276" w:lineRule="auto"/>
        <w:rPr>
          <w:rFonts w:ascii="Times New Roman" w:hAnsi="Times New Roman"/>
          <w:sz w:val="22"/>
          <w:szCs w:val="22"/>
          <w:u w:val="single"/>
        </w:rPr>
      </w:pPr>
      <w:r w:rsidRPr="00CA1ABA">
        <w:rPr>
          <w:rFonts w:ascii="Times New Roman" w:hAnsi="Times New Roman"/>
          <w:sz w:val="22"/>
          <w:szCs w:val="22"/>
          <w:u w:val="single"/>
        </w:rPr>
        <w:t>Discretion of the Court</w:t>
      </w:r>
    </w:p>
    <w:p w14:paraId="33C71B20" w14:textId="77777777" w:rsidR="00CC780E" w:rsidRDefault="00CC780E" w:rsidP="00CC780E">
      <w:pPr>
        <w:pStyle w:val="ListParagraph"/>
        <w:spacing w:after="200" w:line="276" w:lineRule="auto"/>
        <w:rPr>
          <w:rFonts w:ascii="Times New Roman" w:hAnsi="Times New Roman"/>
          <w:sz w:val="22"/>
          <w:szCs w:val="22"/>
        </w:rPr>
      </w:pPr>
    </w:p>
    <w:p w14:paraId="786874C3" w14:textId="77777777" w:rsidR="00CC780E" w:rsidRPr="00D01751" w:rsidRDefault="00CC780E" w:rsidP="00CC780E">
      <w:pPr>
        <w:pStyle w:val="ListParagraph"/>
        <w:spacing w:after="200" w:line="276" w:lineRule="auto"/>
        <w:ind w:left="1080"/>
        <w:rPr>
          <w:rFonts w:ascii="Times New Roman" w:hAnsi="Times New Roman"/>
          <w:sz w:val="22"/>
          <w:szCs w:val="22"/>
        </w:rPr>
      </w:pPr>
      <w:proofErr w:type="gramStart"/>
      <w:r w:rsidRPr="00886BC7">
        <w:rPr>
          <w:rFonts w:ascii="Times New Roman" w:hAnsi="Times New Roman"/>
          <w:sz w:val="22"/>
          <w:szCs w:val="22"/>
        </w:rPr>
        <w:t>In an effort to</w:t>
      </w:r>
      <w:proofErr w:type="gramEnd"/>
      <w:r w:rsidRPr="00886BC7">
        <w:rPr>
          <w:rFonts w:ascii="Times New Roman" w:hAnsi="Times New Roman"/>
          <w:sz w:val="22"/>
          <w:szCs w:val="22"/>
        </w:rPr>
        <w:t xml:space="preserve"> maximize judicial resources, promote access to justice, and assist parties in moving matters along, the court engages in active and robust case management. </w:t>
      </w:r>
      <w:r>
        <w:rPr>
          <w:rFonts w:ascii="Times New Roman" w:hAnsi="Times New Roman"/>
          <w:sz w:val="22"/>
          <w:szCs w:val="22"/>
        </w:rPr>
        <w:t>However, c</w:t>
      </w:r>
      <w:r w:rsidRPr="00D01751">
        <w:rPr>
          <w:rFonts w:ascii="Times New Roman" w:hAnsi="Times New Roman"/>
          <w:sz w:val="22"/>
          <w:szCs w:val="22"/>
        </w:rPr>
        <w:t>ase management is not a replacement for timely, robust and fulsome communication between the parties.  There is a demand for judicial resources in a multitude of areas, only one of which is case management.  The court has the discretion to decline requests for case</w:t>
      </w:r>
      <w:r>
        <w:rPr>
          <w:rFonts w:ascii="Times New Roman" w:hAnsi="Times New Roman"/>
          <w:sz w:val="22"/>
          <w:szCs w:val="22"/>
        </w:rPr>
        <w:t xml:space="preserve"> management</w:t>
      </w:r>
      <w:r w:rsidRPr="00D01751">
        <w:rPr>
          <w:rFonts w:ascii="Times New Roman" w:hAnsi="Times New Roman"/>
          <w:sz w:val="22"/>
          <w:szCs w:val="22"/>
        </w:rPr>
        <w:t xml:space="preserve">, for example where the parties have not sufficiently communicated </w:t>
      </w:r>
      <w:proofErr w:type="gramStart"/>
      <w:r w:rsidRPr="00D01751">
        <w:rPr>
          <w:rFonts w:ascii="Times New Roman" w:hAnsi="Times New Roman"/>
          <w:sz w:val="22"/>
          <w:szCs w:val="22"/>
        </w:rPr>
        <w:t>in an effort to</w:t>
      </w:r>
      <w:proofErr w:type="gramEnd"/>
      <w:r w:rsidRPr="00D01751">
        <w:rPr>
          <w:rFonts w:ascii="Times New Roman" w:hAnsi="Times New Roman"/>
          <w:sz w:val="22"/>
          <w:szCs w:val="22"/>
        </w:rPr>
        <w:t xml:space="preserve"> resolve issues; where a party is seeking a “pre-determination” of a contested issue; or, for any other reason as determined by the court.</w:t>
      </w:r>
    </w:p>
    <w:p w14:paraId="5A544A62" w14:textId="77777777" w:rsidR="00CC780E" w:rsidRDefault="00CC780E" w:rsidP="00CC780E">
      <w:pPr>
        <w:pStyle w:val="ListParagraph"/>
        <w:rPr>
          <w:rFonts w:ascii="Times New Roman" w:hAnsi="Times New Roman"/>
          <w:b/>
          <w:bCs/>
          <w:sz w:val="22"/>
          <w:szCs w:val="22"/>
        </w:rPr>
      </w:pPr>
    </w:p>
    <w:p w14:paraId="6EB68104" w14:textId="77777777" w:rsidR="00CC780E" w:rsidRPr="00886BC7" w:rsidRDefault="00CC780E" w:rsidP="00CC780E">
      <w:pPr>
        <w:pStyle w:val="ListParagraph"/>
        <w:rPr>
          <w:rFonts w:ascii="Times New Roman" w:hAnsi="Times New Roman"/>
          <w:b/>
          <w:bCs/>
          <w:sz w:val="22"/>
          <w:szCs w:val="22"/>
        </w:rPr>
      </w:pPr>
    </w:p>
    <w:p w14:paraId="6A807A79" w14:textId="77777777" w:rsidR="00CC780E" w:rsidRPr="00D01751" w:rsidRDefault="00CC780E" w:rsidP="00CC780E">
      <w:pPr>
        <w:pStyle w:val="ListParagraph"/>
        <w:widowControl/>
        <w:numPr>
          <w:ilvl w:val="0"/>
          <w:numId w:val="1"/>
        </w:numPr>
        <w:autoSpaceDE/>
        <w:autoSpaceDN/>
        <w:adjustRightInd/>
        <w:spacing w:after="200" w:line="276" w:lineRule="auto"/>
        <w:rPr>
          <w:rFonts w:ascii="Times New Roman" w:hAnsi="Times New Roman"/>
          <w:sz w:val="22"/>
          <w:szCs w:val="22"/>
        </w:rPr>
      </w:pPr>
      <w:r>
        <w:rPr>
          <w:rFonts w:ascii="Times New Roman" w:hAnsi="Times New Roman"/>
          <w:sz w:val="22"/>
          <w:szCs w:val="22"/>
          <w:u w:val="single"/>
        </w:rPr>
        <w:t>Procedure</w:t>
      </w:r>
    </w:p>
    <w:p w14:paraId="5DE77641" w14:textId="77777777" w:rsidR="00CC780E" w:rsidRPr="00D01751" w:rsidRDefault="00CC780E" w:rsidP="00CC780E">
      <w:pPr>
        <w:pStyle w:val="ListParagraph"/>
        <w:widowControl/>
        <w:autoSpaceDE/>
        <w:autoSpaceDN/>
        <w:adjustRightInd/>
        <w:spacing w:after="200" w:line="276" w:lineRule="auto"/>
        <w:ind w:left="1080"/>
        <w:rPr>
          <w:rFonts w:ascii="Times New Roman" w:hAnsi="Times New Roman"/>
          <w:sz w:val="22"/>
          <w:szCs w:val="22"/>
        </w:rPr>
      </w:pPr>
    </w:p>
    <w:p w14:paraId="13B096F3" w14:textId="77777777" w:rsidR="00CC780E" w:rsidRPr="00886BC7" w:rsidRDefault="00CC780E" w:rsidP="00CC780E">
      <w:pPr>
        <w:pStyle w:val="ListParagraph"/>
        <w:widowControl/>
        <w:numPr>
          <w:ilvl w:val="0"/>
          <w:numId w:val="2"/>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In the court’s discretion, case management may occur in any matter, including family, criminal, civil, small claims and estates matters. Case management may be held for matters that are on track for a motion, application or trial. </w:t>
      </w:r>
    </w:p>
    <w:p w14:paraId="789B9B00" w14:textId="77777777" w:rsidR="00CC780E" w:rsidRPr="00886BC7" w:rsidRDefault="00CC780E" w:rsidP="00CC780E">
      <w:pPr>
        <w:pStyle w:val="ListParagraph"/>
        <w:rPr>
          <w:rFonts w:ascii="Times New Roman" w:hAnsi="Times New Roman"/>
          <w:sz w:val="22"/>
          <w:szCs w:val="22"/>
        </w:rPr>
      </w:pPr>
    </w:p>
    <w:p w14:paraId="04964E15" w14:textId="77777777" w:rsidR="00CC780E" w:rsidRPr="00886BC7" w:rsidRDefault="00CC780E" w:rsidP="00CC780E">
      <w:pPr>
        <w:pStyle w:val="ListParagraph"/>
        <w:widowControl/>
        <w:numPr>
          <w:ilvl w:val="0"/>
          <w:numId w:val="2"/>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Most case management occurs by telephone but, depending on the circumstances and the direction of the court, may proceed in other forums, including virtually or in person.</w:t>
      </w:r>
    </w:p>
    <w:p w14:paraId="153E3181" w14:textId="77777777" w:rsidR="00CC780E" w:rsidRPr="00886BC7" w:rsidRDefault="00CC780E" w:rsidP="00CC780E">
      <w:pPr>
        <w:pStyle w:val="ListParagraph"/>
        <w:rPr>
          <w:rFonts w:ascii="Times New Roman" w:hAnsi="Times New Roman"/>
          <w:sz w:val="22"/>
          <w:szCs w:val="22"/>
        </w:rPr>
      </w:pPr>
    </w:p>
    <w:p w14:paraId="0DFDEC58" w14:textId="77777777" w:rsidR="00CC780E" w:rsidRPr="00886BC7" w:rsidRDefault="00CC780E" w:rsidP="00CC780E">
      <w:pPr>
        <w:pStyle w:val="ListParagraph"/>
        <w:widowControl/>
        <w:numPr>
          <w:ilvl w:val="0"/>
          <w:numId w:val="2"/>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Depending on the circumstances, case management may be facilitated by the case management coordinator or other such designated person, or by a judge. </w:t>
      </w:r>
    </w:p>
    <w:p w14:paraId="6160B493" w14:textId="77777777" w:rsidR="00CC780E" w:rsidRPr="00886BC7" w:rsidRDefault="00CC780E" w:rsidP="00CC780E">
      <w:pPr>
        <w:pStyle w:val="ListParagraph"/>
        <w:rPr>
          <w:rFonts w:ascii="Times New Roman" w:hAnsi="Times New Roman"/>
          <w:sz w:val="22"/>
          <w:szCs w:val="22"/>
        </w:rPr>
      </w:pPr>
    </w:p>
    <w:p w14:paraId="55FC459D" w14:textId="77777777" w:rsidR="00CC780E" w:rsidRPr="00886BC7" w:rsidRDefault="00CC780E" w:rsidP="00CC780E">
      <w:pPr>
        <w:pStyle w:val="ListParagraph"/>
        <w:widowControl/>
        <w:numPr>
          <w:ilvl w:val="0"/>
          <w:numId w:val="2"/>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Discussion points are wide-ranging but often include the parties articulating the issues for determination; outstanding steps required, including estimated timeline for completion; disclosure issues; procedural issues; and whether examinations on affidavits will be proceeding outside of court</w:t>
      </w:r>
      <w:r>
        <w:rPr>
          <w:rFonts w:ascii="Times New Roman" w:hAnsi="Times New Roman"/>
          <w:sz w:val="22"/>
          <w:szCs w:val="22"/>
        </w:rPr>
        <w:t>,</w:t>
      </w:r>
      <w:r w:rsidRPr="00886BC7">
        <w:rPr>
          <w:rFonts w:ascii="Times New Roman" w:hAnsi="Times New Roman"/>
          <w:sz w:val="22"/>
          <w:szCs w:val="22"/>
        </w:rPr>
        <w:t xml:space="preserve"> or </w:t>
      </w:r>
      <w:r>
        <w:rPr>
          <w:rFonts w:ascii="Times New Roman" w:hAnsi="Times New Roman"/>
          <w:sz w:val="22"/>
          <w:szCs w:val="22"/>
        </w:rPr>
        <w:t xml:space="preserve">whether </w:t>
      </w:r>
      <w:r w:rsidRPr="00886BC7">
        <w:rPr>
          <w:rFonts w:ascii="Times New Roman" w:hAnsi="Times New Roman"/>
          <w:sz w:val="22"/>
          <w:szCs w:val="22"/>
        </w:rPr>
        <w:t xml:space="preserve">a party will be seeking leave to examine within the hearing. </w:t>
      </w:r>
    </w:p>
    <w:p w14:paraId="4A078C8C" w14:textId="77777777" w:rsidR="00CC780E" w:rsidRPr="00886BC7" w:rsidRDefault="00CC780E" w:rsidP="00CC780E">
      <w:pPr>
        <w:pStyle w:val="ListParagraph"/>
        <w:rPr>
          <w:rFonts w:ascii="Times New Roman" w:hAnsi="Times New Roman"/>
          <w:sz w:val="22"/>
          <w:szCs w:val="22"/>
        </w:rPr>
      </w:pPr>
    </w:p>
    <w:p w14:paraId="1EA7C202" w14:textId="77777777" w:rsidR="00CC780E" w:rsidRDefault="00CC780E" w:rsidP="00CC780E">
      <w:pPr>
        <w:pStyle w:val="ListParagraph"/>
        <w:widowControl/>
        <w:numPr>
          <w:ilvl w:val="0"/>
          <w:numId w:val="2"/>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The court may establish a timeline for the parties or direct the parties to participate in further case management. The court may also authorize a motion, application, settlement conference, trial readiness </w:t>
      </w:r>
      <w:r>
        <w:rPr>
          <w:rFonts w:ascii="Times New Roman" w:hAnsi="Times New Roman"/>
          <w:sz w:val="22"/>
          <w:szCs w:val="22"/>
        </w:rPr>
        <w:t>pre-trial</w:t>
      </w:r>
      <w:r w:rsidRPr="00886BC7">
        <w:rPr>
          <w:rFonts w:ascii="Times New Roman" w:hAnsi="Times New Roman"/>
          <w:sz w:val="22"/>
          <w:szCs w:val="22"/>
        </w:rPr>
        <w:t xml:space="preserve"> conference or trial. The expectation is that the timetable and action items established in case management will be adhered to and complied with. Achieving the benefits of case management requires commitment to the process, including </w:t>
      </w:r>
      <w:proofErr w:type="gramStart"/>
      <w:r w:rsidRPr="00886BC7">
        <w:rPr>
          <w:rFonts w:ascii="Times New Roman" w:hAnsi="Times New Roman"/>
          <w:sz w:val="22"/>
          <w:szCs w:val="22"/>
        </w:rPr>
        <w:t>in particular to</w:t>
      </w:r>
      <w:proofErr w:type="gramEnd"/>
      <w:r w:rsidRPr="00886BC7">
        <w:rPr>
          <w:rFonts w:ascii="Times New Roman" w:hAnsi="Times New Roman"/>
          <w:sz w:val="22"/>
          <w:szCs w:val="22"/>
        </w:rPr>
        <w:t xml:space="preserve"> the timetable set out.</w:t>
      </w:r>
    </w:p>
    <w:p w14:paraId="619CC1D7" w14:textId="77777777" w:rsidR="00ED1BFF" w:rsidRDefault="00ED1BFF"/>
    <w:sectPr w:rsidR="00E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25CA2"/>
    <w:multiLevelType w:val="hybridMultilevel"/>
    <w:tmpl w:val="ADAC3D3E"/>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49DB08A0"/>
    <w:multiLevelType w:val="hybridMultilevel"/>
    <w:tmpl w:val="AB22D95E"/>
    <w:lvl w:ilvl="0" w:tplc="AA503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84718">
    <w:abstractNumId w:val="1"/>
  </w:num>
  <w:num w:numId="2" w16cid:durableId="203059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0E"/>
    <w:rsid w:val="000824AF"/>
    <w:rsid w:val="003E4C92"/>
    <w:rsid w:val="00424F8B"/>
    <w:rsid w:val="004B03A6"/>
    <w:rsid w:val="004C60FA"/>
    <w:rsid w:val="008D7D56"/>
    <w:rsid w:val="009230C7"/>
    <w:rsid w:val="00B42811"/>
    <w:rsid w:val="00CC780E"/>
    <w:rsid w:val="00E864A0"/>
    <w:rsid w:val="00ED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73F9"/>
  <w15:chartTrackingRefBased/>
  <w15:docId w15:val="{C5A06FB0-6E01-404A-B8B9-CEC57CE0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0E"/>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CC7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78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78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78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78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0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78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78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78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78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78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78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0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78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780E"/>
    <w:rPr>
      <w:i/>
      <w:iCs/>
      <w:color w:val="404040" w:themeColor="text1" w:themeTint="BF"/>
    </w:rPr>
  </w:style>
  <w:style w:type="paragraph" w:styleId="ListParagraph">
    <w:name w:val="List Paragraph"/>
    <w:basedOn w:val="Normal"/>
    <w:uiPriority w:val="34"/>
    <w:qFormat/>
    <w:rsid w:val="00CC780E"/>
    <w:pPr>
      <w:ind w:left="720"/>
      <w:contextualSpacing/>
    </w:pPr>
  </w:style>
  <w:style w:type="character" w:styleId="IntenseEmphasis">
    <w:name w:val="Intense Emphasis"/>
    <w:basedOn w:val="DefaultParagraphFont"/>
    <w:uiPriority w:val="21"/>
    <w:qFormat/>
    <w:rsid w:val="00CC780E"/>
    <w:rPr>
      <w:i/>
      <w:iCs/>
      <w:color w:val="0F4761" w:themeColor="accent1" w:themeShade="BF"/>
    </w:rPr>
  </w:style>
  <w:style w:type="paragraph" w:styleId="IntenseQuote">
    <w:name w:val="Intense Quote"/>
    <w:basedOn w:val="Normal"/>
    <w:next w:val="Normal"/>
    <w:link w:val="IntenseQuoteChar"/>
    <w:uiPriority w:val="30"/>
    <w:qFormat/>
    <w:rsid w:val="00CC7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0E"/>
    <w:rPr>
      <w:i/>
      <w:iCs/>
      <w:color w:val="0F4761" w:themeColor="accent1" w:themeShade="BF"/>
    </w:rPr>
  </w:style>
  <w:style w:type="character" w:styleId="IntenseReference">
    <w:name w:val="Intense Reference"/>
    <w:basedOn w:val="DefaultParagraphFont"/>
    <w:uiPriority w:val="32"/>
    <w:qFormat/>
    <w:rsid w:val="00CC780E"/>
    <w:rPr>
      <w:b/>
      <w:bCs/>
      <w:smallCaps/>
      <w:color w:val="0F4761" w:themeColor="accent1" w:themeShade="BF"/>
      <w:spacing w:val="5"/>
    </w:rPr>
  </w:style>
  <w:style w:type="paragraph" w:customStyle="1" w:styleId="Default">
    <w:name w:val="Default"/>
    <w:rsid w:val="00CC780E"/>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ITSS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dcterms:created xsi:type="dcterms:W3CDTF">2025-08-25T13:35:00Z</dcterms:created>
  <dcterms:modified xsi:type="dcterms:W3CDTF">2025-08-25T13:36:00Z</dcterms:modified>
</cp:coreProperties>
</file>