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6E34" w14:textId="77777777" w:rsidR="00356530" w:rsidRPr="00D0360D" w:rsidRDefault="00356530" w:rsidP="00356530">
      <w:pPr>
        <w:pStyle w:val="Default"/>
        <w:spacing w:line="276" w:lineRule="auto"/>
        <w:ind w:left="720"/>
        <w:jc w:val="center"/>
        <w:rPr>
          <w:rFonts w:ascii="Times New Roman" w:hAnsi="Times New Roman" w:cs="Times New Roman"/>
          <w:b/>
          <w:bCs/>
          <w:sz w:val="22"/>
          <w:szCs w:val="22"/>
        </w:rPr>
      </w:pPr>
      <w:bookmarkStart w:id="0" w:name="_Hlk200973651"/>
      <w:r>
        <w:rPr>
          <w:rFonts w:ascii="Times New Roman" w:hAnsi="Times New Roman" w:cs="Times New Roman"/>
          <w:b/>
          <w:bCs/>
          <w:sz w:val="22"/>
          <w:szCs w:val="22"/>
        </w:rPr>
        <w:t>G</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161494">
        <w:rPr>
          <w:rFonts w:ascii="Times New Roman" w:hAnsi="Times New Roman"/>
          <w:b/>
          <w:bCs/>
          <w:sz w:val="22"/>
          <w:szCs w:val="22"/>
        </w:rPr>
        <w:t>AUTHORITIES</w:t>
      </w:r>
    </w:p>
    <w:bookmarkEnd w:id="0"/>
    <w:p w14:paraId="2005B4CF" w14:textId="77777777" w:rsidR="00356530" w:rsidRDefault="00356530" w:rsidP="00356530">
      <w:pPr>
        <w:pStyle w:val="ListParagraph"/>
        <w:spacing w:line="276" w:lineRule="auto"/>
        <w:ind w:left="1080"/>
        <w:rPr>
          <w:rFonts w:ascii="Times New Roman" w:hAnsi="Times New Roman"/>
          <w:sz w:val="22"/>
          <w:szCs w:val="22"/>
          <w:u w:val="single"/>
          <w:lang w:val="en-GB"/>
        </w:rPr>
      </w:pPr>
    </w:p>
    <w:p w14:paraId="15F61CAE" w14:textId="77777777" w:rsidR="00356530" w:rsidRPr="00080107" w:rsidRDefault="00356530" w:rsidP="00356530">
      <w:pPr>
        <w:pStyle w:val="ListParagraph"/>
        <w:numPr>
          <w:ilvl w:val="0"/>
          <w:numId w:val="1"/>
        </w:numPr>
        <w:spacing w:line="276" w:lineRule="auto"/>
        <w:rPr>
          <w:rFonts w:ascii="Times New Roman" w:hAnsi="Times New Roman"/>
          <w:sz w:val="22"/>
          <w:szCs w:val="22"/>
          <w:u w:val="single"/>
          <w:lang w:val="en-GB"/>
        </w:rPr>
      </w:pPr>
      <w:r w:rsidRPr="00080107">
        <w:rPr>
          <w:rFonts w:ascii="Times New Roman" w:hAnsi="Times New Roman"/>
          <w:sz w:val="22"/>
          <w:szCs w:val="22"/>
          <w:u w:val="single"/>
          <w:lang w:val="en-GB"/>
        </w:rPr>
        <w:t>Case Authorities</w:t>
      </w:r>
    </w:p>
    <w:p w14:paraId="1DB6EA86" w14:textId="77777777" w:rsidR="00356530" w:rsidRDefault="00356530" w:rsidP="00356530">
      <w:pPr>
        <w:pStyle w:val="ListParagraph"/>
        <w:spacing w:line="276" w:lineRule="auto"/>
        <w:ind w:left="1080"/>
        <w:rPr>
          <w:rFonts w:ascii="Times New Roman" w:hAnsi="Times New Roman"/>
          <w:sz w:val="22"/>
          <w:szCs w:val="22"/>
          <w:u w:val="thick"/>
          <w:lang w:val="en-GB"/>
        </w:rPr>
      </w:pPr>
    </w:p>
    <w:p w14:paraId="0D4FC9B6" w14:textId="77777777" w:rsidR="00356530" w:rsidRPr="006D0A8D" w:rsidRDefault="00356530" w:rsidP="00356530">
      <w:pPr>
        <w:pStyle w:val="ListParagraph"/>
        <w:numPr>
          <w:ilvl w:val="2"/>
          <w:numId w:val="1"/>
        </w:numPr>
        <w:spacing w:line="276" w:lineRule="auto"/>
        <w:rPr>
          <w:rFonts w:ascii="Times New Roman" w:hAnsi="Times New Roman"/>
          <w:sz w:val="22"/>
          <w:szCs w:val="22"/>
          <w:u w:val="thick"/>
          <w:lang w:val="en-GB"/>
        </w:rPr>
      </w:pPr>
      <w:r w:rsidRPr="006D0A8D">
        <w:rPr>
          <w:rFonts w:ascii="Times New Roman" w:hAnsi="Times New Roman"/>
          <w:sz w:val="22"/>
          <w:szCs w:val="22"/>
          <w:lang w:val="en-GB"/>
        </w:rPr>
        <w:t>Parties may, in their discretion, limit the photocopying of unduly long cases to the headnote and the specific passage or passages upon which they rely. This should be made clear on the portions of the case being filed, with a notation indicating the pages of the case not being filed.</w:t>
      </w:r>
    </w:p>
    <w:p w14:paraId="48F9F2FB" w14:textId="77777777" w:rsidR="00356530" w:rsidRDefault="00356530" w:rsidP="00356530">
      <w:pPr>
        <w:pStyle w:val="ListParagraph"/>
        <w:spacing w:line="276" w:lineRule="auto"/>
        <w:ind w:left="1440"/>
        <w:jc w:val="both"/>
        <w:rPr>
          <w:rFonts w:ascii="Times New Roman" w:hAnsi="Times New Roman"/>
          <w:sz w:val="22"/>
          <w:szCs w:val="22"/>
          <w:lang w:val="en-GB"/>
        </w:rPr>
      </w:pPr>
    </w:p>
    <w:p w14:paraId="37EB52F0" w14:textId="77777777" w:rsidR="00356530" w:rsidRDefault="00356530" w:rsidP="00356530">
      <w:pPr>
        <w:pStyle w:val="ListParagraph"/>
        <w:numPr>
          <w:ilvl w:val="2"/>
          <w:numId w:val="1"/>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In citing cases:</w:t>
      </w:r>
    </w:p>
    <w:p w14:paraId="59D98D2A" w14:textId="77777777" w:rsidR="00356530" w:rsidRPr="00CB702D" w:rsidRDefault="00356530" w:rsidP="00356530">
      <w:pPr>
        <w:pStyle w:val="ListParagraph"/>
        <w:rPr>
          <w:rFonts w:ascii="Times New Roman" w:hAnsi="Times New Roman"/>
          <w:sz w:val="22"/>
          <w:szCs w:val="22"/>
          <w:lang w:val="en-GB"/>
        </w:rPr>
      </w:pPr>
    </w:p>
    <w:p w14:paraId="0A096525" w14:textId="77777777" w:rsidR="00356530" w:rsidRPr="007B34D5" w:rsidRDefault="00356530" w:rsidP="00356530">
      <w:pPr>
        <w:pStyle w:val="ListParagraph"/>
        <w:numPr>
          <w:ilvl w:val="0"/>
          <w:numId w:val="3"/>
        </w:numPr>
        <w:tabs>
          <w:tab w:val="left" w:pos="-1440"/>
        </w:tabs>
        <w:spacing w:line="276" w:lineRule="auto"/>
        <w:jc w:val="both"/>
        <w:rPr>
          <w:rFonts w:ascii="Times New Roman" w:hAnsi="Times New Roman"/>
          <w:sz w:val="22"/>
          <w:szCs w:val="22"/>
          <w:lang w:val="en-GB"/>
        </w:rPr>
      </w:pPr>
      <w:r w:rsidRPr="007B34D5">
        <w:rPr>
          <w:rFonts w:ascii="Times New Roman" w:hAnsi="Times New Roman"/>
          <w:sz w:val="22"/>
          <w:szCs w:val="22"/>
          <w:lang w:val="en-GB"/>
        </w:rPr>
        <w:t xml:space="preserve">the neutral citation should be utilized where applicable e.g. </w:t>
      </w:r>
      <w:r w:rsidRPr="007B34D5">
        <w:rPr>
          <w:rFonts w:ascii="Times New Roman" w:hAnsi="Times New Roman"/>
          <w:i/>
          <w:iCs/>
          <w:sz w:val="22"/>
          <w:szCs w:val="22"/>
          <w:lang w:val="en-GB"/>
        </w:rPr>
        <w:t>Smith v. Brown</w:t>
      </w:r>
      <w:r w:rsidRPr="007B34D5">
        <w:rPr>
          <w:rFonts w:ascii="Times New Roman" w:hAnsi="Times New Roman"/>
          <w:sz w:val="22"/>
          <w:szCs w:val="22"/>
          <w:lang w:val="en-GB"/>
        </w:rPr>
        <w:t>, 2010 PESC 123.</w:t>
      </w:r>
    </w:p>
    <w:p w14:paraId="2579EA99" w14:textId="77777777" w:rsidR="00356530" w:rsidRPr="00886BC7" w:rsidRDefault="00356530" w:rsidP="00356530">
      <w:pPr>
        <w:pStyle w:val="ListParagraph"/>
        <w:numPr>
          <w:ilvl w:val="0"/>
          <w:numId w:val="3"/>
        </w:numPr>
        <w:tabs>
          <w:tab w:val="left" w:pos="-1440"/>
        </w:tabs>
        <w:spacing w:line="276" w:lineRule="auto"/>
        <w:jc w:val="both"/>
        <w:rPr>
          <w:rFonts w:ascii="Times New Roman" w:hAnsi="Times New Roman"/>
          <w:sz w:val="22"/>
          <w:szCs w:val="22"/>
          <w:lang w:val="en-GB"/>
        </w:rPr>
      </w:pPr>
      <w:proofErr w:type="gramStart"/>
      <w:r>
        <w:rPr>
          <w:rFonts w:ascii="Times New Roman" w:hAnsi="Times New Roman"/>
          <w:sz w:val="22"/>
          <w:szCs w:val="22"/>
          <w:lang w:val="en-GB"/>
        </w:rPr>
        <w:t>i</w:t>
      </w:r>
      <w:r w:rsidRPr="00886BC7">
        <w:rPr>
          <w:rFonts w:ascii="Times New Roman" w:hAnsi="Times New Roman"/>
          <w:sz w:val="22"/>
          <w:szCs w:val="22"/>
          <w:lang w:val="en-GB"/>
        </w:rPr>
        <w:t>n the event that</w:t>
      </w:r>
      <w:proofErr w:type="gramEnd"/>
      <w:r w:rsidRPr="00886BC7">
        <w:rPr>
          <w:rFonts w:ascii="Times New Roman" w:hAnsi="Times New Roman"/>
          <w:sz w:val="22"/>
          <w:szCs w:val="22"/>
          <w:lang w:val="en-GB"/>
        </w:rPr>
        <w:t xml:space="preserve"> there is a parallel reported citation, the neutral citation should be first, followed by the parallel citation. e.g. </w:t>
      </w:r>
      <w:r w:rsidRPr="00886BC7">
        <w:rPr>
          <w:rFonts w:ascii="Times New Roman" w:hAnsi="Times New Roman"/>
          <w:i/>
          <w:iCs/>
          <w:sz w:val="22"/>
          <w:szCs w:val="22"/>
          <w:lang w:val="en-GB"/>
        </w:rPr>
        <w:t>Smith v. Brown</w:t>
      </w:r>
      <w:r w:rsidRPr="00886BC7">
        <w:rPr>
          <w:rFonts w:ascii="Times New Roman" w:hAnsi="Times New Roman"/>
          <w:sz w:val="22"/>
          <w:szCs w:val="22"/>
          <w:lang w:val="en-GB"/>
        </w:rPr>
        <w:t>, 2010 PESC 123, [</w:t>
      </w:r>
      <w:proofErr w:type="gramStart"/>
      <w:r w:rsidRPr="00886BC7">
        <w:rPr>
          <w:rFonts w:ascii="Times New Roman" w:hAnsi="Times New Roman"/>
          <w:sz w:val="22"/>
          <w:szCs w:val="22"/>
          <w:lang w:val="en-GB"/>
        </w:rPr>
        <w:t>2000]...</w:t>
      </w:r>
      <w:proofErr w:type="spellStart"/>
      <w:proofErr w:type="gramEnd"/>
      <w:r w:rsidRPr="00886BC7">
        <w:rPr>
          <w:rFonts w:ascii="Times New Roman" w:hAnsi="Times New Roman"/>
          <w:sz w:val="22"/>
          <w:szCs w:val="22"/>
          <w:lang w:val="en-GB"/>
        </w:rPr>
        <w:t>Nfld</w:t>
      </w:r>
      <w:proofErr w:type="spellEnd"/>
      <w:r w:rsidRPr="00886BC7">
        <w:rPr>
          <w:rFonts w:ascii="Times New Roman" w:hAnsi="Times New Roman"/>
          <w:sz w:val="22"/>
          <w:szCs w:val="22"/>
          <w:lang w:val="en-GB"/>
        </w:rPr>
        <w:t xml:space="preserve"> &amp; P.E.I.R. </w:t>
      </w:r>
      <w:proofErr w:type="gramStart"/>
      <w:r w:rsidRPr="00886BC7">
        <w:rPr>
          <w:rFonts w:ascii="Times New Roman" w:hAnsi="Times New Roman"/>
          <w:sz w:val="22"/>
          <w:szCs w:val="22"/>
          <w:lang w:val="en-GB"/>
        </w:rPr>
        <w:t>xx,.</w:t>
      </w:r>
      <w:proofErr w:type="gramEnd"/>
    </w:p>
    <w:p w14:paraId="5129C539" w14:textId="77777777" w:rsidR="00356530" w:rsidRPr="00886BC7" w:rsidRDefault="00356530" w:rsidP="00356530">
      <w:pPr>
        <w:pStyle w:val="ListParagraph"/>
        <w:tabs>
          <w:tab w:val="left" w:pos="-1440"/>
        </w:tabs>
        <w:spacing w:line="276" w:lineRule="auto"/>
        <w:ind w:left="2160"/>
        <w:jc w:val="both"/>
        <w:rPr>
          <w:rFonts w:ascii="Times New Roman" w:hAnsi="Times New Roman"/>
          <w:sz w:val="22"/>
          <w:szCs w:val="22"/>
          <w:lang w:val="en-GB"/>
        </w:rPr>
      </w:pPr>
    </w:p>
    <w:p w14:paraId="4A800D26" w14:textId="77777777" w:rsidR="00356530" w:rsidRPr="00886BC7" w:rsidRDefault="00356530" w:rsidP="00356530">
      <w:pPr>
        <w:pStyle w:val="ListParagraph"/>
        <w:numPr>
          <w:ilvl w:val="2"/>
          <w:numId w:val="1"/>
        </w:numPr>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lang w:val="en-GB"/>
        </w:rPr>
        <w:t>Cases taken from an electronic database which contain paragraph numbers may be filed.</w:t>
      </w:r>
    </w:p>
    <w:p w14:paraId="2D8544CC" w14:textId="77777777" w:rsidR="00356530" w:rsidRPr="00886BC7" w:rsidRDefault="00356530" w:rsidP="00356530">
      <w:pPr>
        <w:pStyle w:val="ListParagraph"/>
        <w:tabs>
          <w:tab w:val="left" w:pos="-1440"/>
        </w:tabs>
        <w:spacing w:line="276" w:lineRule="auto"/>
        <w:ind w:left="1440"/>
        <w:jc w:val="both"/>
        <w:rPr>
          <w:rFonts w:ascii="Times New Roman" w:hAnsi="Times New Roman"/>
          <w:sz w:val="22"/>
          <w:szCs w:val="22"/>
          <w:lang w:val="en-GB"/>
        </w:rPr>
      </w:pPr>
    </w:p>
    <w:p w14:paraId="6CACFF5A" w14:textId="77777777" w:rsidR="00356530" w:rsidRPr="00886BC7" w:rsidRDefault="00356530" w:rsidP="00356530">
      <w:pPr>
        <w:pStyle w:val="ListParagraph"/>
        <w:numPr>
          <w:ilvl w:val="2"/>
          <w:numId w:val="1"/>
        </w:numPr>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Cases taken from an electronic database which does not contain paragraph </w:t>
      </w:r>
      <w:proofErr w:type="gramStart"/>
      <w:r w:rsidRPr="00886BC7">
        <w:rPr>
          <w:rFonts w:ascii="Times New Roman" w:hAnsi="Times New Roman"/>
          <w:sz w:val="22"/>
          <w:szCs w:val="22"/>
          <w:lang w:val="en-GB"/>
        </w:rPr>
        <w:t>numbers</w:t>
      </w:r>
      <w:proofErr w:type="gramEnd"/>
      <w:r w:rsidRPr="00886BC7">
        <w:rPr>
          <w:rFonts w:ascii="Times New Roman" w:hAnsi="Times New Roman"/>
          <w:sz w:val="22"/>
          <w:szCs w:val="22"/>
          <w:lang w:val="en-GB"/>
        </w:rPr>
        <w:t xml:space="preserve"> or the Law Report page number should only be filed if there is no other option available.</w:t>
      </w:r>
    </w:p>
    <w:p w14:paraId="43CD1735" w14:textId="77777777" w:rsidR="00356530" w:rsidRPr="00886BC7" w:rsidRDefault="00356530" w:rsidP="00356530">
      <w:pPr>
        <w:pStyle w:val="ListParagraph"/>
        <w:tabs>
          <w:tab w:val="left" w:pos="-1440"/>
        </w:tabs>
        <w:spacing w:line="276" w:lineRule="auto"/>
        <w:ind w:left="1080"/>
        <w:jc w:val="both"/>
        <w:rPr>
          <w:rFonts w:ascii="Times New Roman" w:hAnsi="Times New Roman"/>
          <w:sz w:val="22"/>
          <w:szCs w:val="22"/>
          <w:lang w:val="en-GB"/>
        </w:rPr>
      </w:pPr>
    </w:p>
    <w:p w14:paraId="2E001B4E" w14:textId="77777777" w:rsidR="00356530" w:rsidRPr="001F05B4" w:rsidRDefault="00356530" w:rsidP="00356530">
      <w:pPr>
        <w:pStyle w:val="ListParagraph"/>
        <w:spacing w:line="276" w:lineRule="auto"/>
        <w:ind w:left="1080"/>
        <w:jc w:val="both"/>
        <w:rPr>
          <w:rFonts w:ascii="Times New Roman" w:hAnsi="Times New Roman"/>
          <w:sz w:val="22"/>
          <w:szCs w:val="22"/>
          <w:lang w:val="en-GB"/>
        </w:rPr>
      </w:pPr>
    </w:p>
    <w:p w14:paraId="55244B03" w14:textId="77777777" w:rsidR="00356530" w:rsidRPr="00886BC7" w:rsidRDefault="00356530" w:rsidP="00356530">
      <w:pPr>
        <w:pStyle w:val="ListParagraph"/>
        <w:numPr>
          <w:ilvl w:val="0"/>
          <w:numId w:val="1"/>
        </w:numPr>
        <w:spacing w:line="276" w:lineRule="auto"/>
        <w:jc w:val="both"/>
        <w:rPr>
          <w:rFonts w:ascii="Times New Roman" w:hAnsi="Times New Roman"/>
          <w:sz w:val="22"/>
          <w:szCs w:val="22"/>
          <w:lang w:val="en-GB"/>
        </w:rPr>
      </w:pPr>
      <w:r w:rsidRPr="00886BC7">
        <w:rPr>
          <w:rFonts w:ascii="Times New Roman" w:hAnsi="Times New Roman"/>
          <w:sz w:val="22"/>
          <w:szCs w:val="22"/>
          <w:u w:val="single"/>
          <w:lang w:val="en-GB"/>
        </w:rPr>
        <w:t>Highlighting</w:t>
      </w:r>
    </w:p>
    <w:p w14:paraId="6C5E9D76" w14:textId="77777777" w:rsidR="00356530" w:rsidRPr="00886BC7" w:rsidRDefault="00356530" w:rsidP="00356530">
      <w:pPr>
        <w:pStyle w:val="ListParagraph"/>
        <w:spacing w:line="276" w:lineRule="auto"/>
        <w:ind w:left="1080"/>
        <w:jc w:val="both"/>
        <w:rPr>
          <w:rFonts w:ascii="Times New Roman" w:hAnsi="Times New Roman"/>
          <w:sz w:val="22"/>
          <w:szCs w:val="22"/>
          <w:lang w:val="en-GB"/>
        </w:rPr>
      </w:pPr>
    </w:p>
    <w:p w14:paraId="04CB9CE0" w14:textId="77777777" w:rsidR="00356530" w:rsidRPr="00886BC7" w:rsidRDefault="00356530" w:rsidP="00356530">
      <w:pPr>
        <w:pStyle w:val="ListParagraph"/>
        <w:spacing w:line="276" w:lineRule="auto"/>
        <w:ind w:left="1080"/>
        <w:jc w:val="both"/>
        <w:rPr>
          <w:rFonts w:ascii="Times New Roman" w:hAnsi="Times New Roman"/>
          <w:sz w:val="22"/>
          <w:szCs w:val="22"/>
          <w:lang w:val="en-GB"/>
        </w:rPr>
      </w:pPr>
      <w:r w:rsidRPr="00886BC7">
        <w:rPr>
          <w:rFonts w:ascii="Times New Roman" w:hAnsi="Times New Roman"/>
          <w:sz w:val="22"/>
          <w:szCs w:val="22"/>
          <w:lang w:val="en-GB"/>
        </w:rPr>
        <w:t>The authorities cited and relied upon in motions, applications, trials and appeals are to have the relevant portion emphasized by highlighting in yellow colour.</w:t>
      </w:r>
    </w:p>
    <w:p w14:paraId="124DEB29" w14:textId="77777777" w:rsidR="00356530" w:rsidRPr="00886BC7" w:rsidRDefault="00356530" w:rsidP="00356530">
      <w:pPr>
        <w:spacing w:line="276" w:lineRule="auto"/>
        <w:jc w:val="both"/>
        <w:rPr>
          <w:rFonts w:ascii="Times New Roman" w:hAnsi="Times New Roman"/>
          <w:sz w:val="22"/>
          <w:szCs w:val="22"/>
          <w:u w:val="single"/>
          <w:lang w:val="en-GB"/>
        </w:rPr>
      </w:pPr>
    </w:p>
    <w:p w14:paraId="524336B2" w14:textId="77777777" w:rsidR="00356530" w:rsidRPr="00886BC7" w:rsidRDefault="00356530" w:rsidP="00356530">
      <w:pPr>
        <w:spacing w:line="276" w:lineRule="auto"/>
        <w:jc w:val="both"/>
        <w:rPr>
          <w:rFonts w:ascii="Times New Roman" w:hAnsi="Times New Roman"/>
          <w:sz w:val="22"/>
          <w:szCs w:val="22"/>
          <w:u w:val="single"/>
          <w:lang w:val="en-GB"/>
        </w:rPr>
      </w:pPr>
    </w:p>
    <w:p w14:paraId="77962A58" w14:textId="77777777" w:rsidR="00356530" w:rsidRPr="00886BC7" w:rsidRDefault="00356530" w:rsidP="00356530">
      <w:pPr>
        <w:pStyle w:val="ListParagraph"/>
        <w:numPr>
          <w:ilvl w:val="0"/>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Joint Authorities</w:t>
      </w:r>
    </w:p>
    <w:p w14:paraId="56E37072" w14:textId="77777777" w:rsidR="00356530" w:rsidRPr="00886BC7" w:rsidRDefault="00356530" w:rsidP="00356530">
      <w:pPr>
        <w:spacing w:line="276" w:lineRule="auto"/>
        <w:jc w:val="both"/>
        <w:rPr>
          <w:rFonts w:ascii="Times New Roman" w:hAnsi="Times New Roman"/>
          <w:sz w:val="22"/>
          <w:szCs w:val="22"/>
          <w:u w:val="thick"/>
          <w:lang w:val="en-GB"/>
        </w:rPr>
      </w:pPr>
    </w:p>
    <w:p w14:paraId="6E5DB6A1" w14:textId="77777777" w:rsidR="00356530" w:rsidRPr="000C718C" w:rsidRDefault="00356530" w:rsidP="00356530">
      <w:pPr>
        <w:pStyle w:val="ListParagraph"/>
        <w:numPr>
          <w:ilvl w:val="2"/>
          <w:numId w:val="1"/>
        </w:numPr>
        <w:spacing w:line="276" w:lineRule="auto"/>
        <w:jc w:val="both"/>
        <w:rPr>
          <w:rFonts w:ascii="Times New Roman" w:hAnsi="Times New Roman"/>
          <w:sz w:val="22"/>
          <w:szCs w:val="22"/>
          <w:lang w:val="en-GB"/>
        </w:rPr>
      </w:pPr>
      <w:r w:rsidRPr="000C718C">
        <w:rPr>
          <w:rFonts w:ascii="Times New Roman" w:hAnsi="Times New Roman"/>
          <w:sz w:val="22"/>
          <w:szCs w:val="22"/>
          <w:lang w:val="en-GB"/>
        </w:rPr>
        <w:t xml:space="preserve">Parties are encouraged to file a joint book of authorities where possible. Alternatively, if a party has already filed a specific authority and an opposing party wishes to rely on the same authority, they may do </w:t>
      </w:r>
      <w:proofErr w:type="gramStart"/>
      <w:r w:rsidRPr="000C718C">
        <w:rPr>
          <w:rFonts w:ascii="Times New Roman" w:hAnsi="Times New Roman"/>
          <w:sz w:val="22"/>
          <w:szCs w:val="22"/>
          <w:lang w:val="en-GB"/>
        </w:rPr>
        <w:t>so, and</w:t>
      </w:r>
      <w:proofErr w:type="gramEnd"/>
      <w:r w:rsidRPr="000C718C">
        <w:rPr>
          <w:rFonts w:ascii="Times New Roman" w:hAnsi="Times New Roman"/>
          <w:sz w:val="22"/>
          <w:szCs w:val="22"/>
          <w:lang w:val="en-GB"/>
        </w:rPr>
        <w:t xml:space="preserve"> reference the opposing party’s book of authorities. </w:t>
      </w:r>
    </w:p>
    <w:p w14:paraId="1C3429F0" w14:textId="77777777" w:rsidR="00356530" w:rsidRPr="00886BC7" w:rsidRDefault="00356530" w:rsidP="00356530">
      <w:pPr>
        <w:pStyle w:val="ListParagraph"/>
        <w:spacing w:line="276" w:lineRule="auto"/>
        <w:ind w:left="1080"/>
        <w:jc w:val="both"/>
        <w:rPr>
          <w:rFonts w:ascii="Times New Roman" w:hAnsi="Times New Roman"/>
          <w:sz w:val="22"/>
          <w:szCs w:val="22"/>
          <w:lang w:val="en-GB"/>
        </w:rPr>
      </w:pPr>
    </w:p>
    <w:p w14:paraId="1839A1F3" w14:textId="77777777" w:rsidR="00356530" w:rsidRPr="000C718C" w:rsidRDefault="00356530" w:rsidP="00356530">
      <w:pPr>
        <w:pStyle w:val="ListParagraph"/>
        <w:numPr>
          <w:ilvl w:val="2"/>
          <w:numId w:val="1"/>
        </w:numPr>
        <w:spacing w:line="276" w:lineRule="auto"/>
        <w:rPr>
          <w:rFonts w:ascii="Times New Roman" w:hAnsi="Times New Roman"/>
          <w:sz w:val="22"/>
          <w:szCs w:val="22"/>
          <w:lang w:val="en-GB"/>
        </w:rPr>
      </w:pPr>
      <w:r w:rsidRPr="00886BC7">
        <w:rPr>
          <w:rFonts w:ascii="Times New Roman" w:hAnsi="Times New Roman"/>
          <w:sz w:val="22"/>
          <w:szCs w:val="22"/>
          <w:lang w:val="en-GB"/>
        </w:rPr>
        <w:t xml:space="preserve">When </w:t>
      </w:r>
      <w:r>
        <w:rPr>
          <w:rFonts w:ascii="Times New Roman" w:hAnsi="Times New Roman"/>
          <w:sz w:val="22"/>
          <w:szCs w:val="22"/>
          <w:lang w:val="en-GB"/>
        </w:rPr>
        <w:t xml:space="preserve">a case is referenced in a party’s </w:t>
      </w:r>
      <w:r w:rsidRPr="00886BC7">
        <w:rPr>
          <w:rFonts w:ascii="Times New Roman" w:hAnsi="Times New Roman"/>
          <w:sz w:val="22"/>
          <w:szCs w:val="22"/>
          <w:lang w:val="en-GB"/>
        </w:rPr>
        <w:t xml:space="preserve">factum, the </w:t>
      </w:r>
      <w:r>
        <w:rPr>
          <w:rFonts w:ascii="Times New Roman" w:hAnsi="Times New Roman"/>
          <w:sz w:val="22"/>
          <w:szCs w:val="22"/>
          <w:lang w:val="en-GB"/>
        </w:rPr>
        <w:t xml:space="preserve">actual </w:t>
      </w:r>
      <w:r w:rsidRPr="00886BC7">
        <w:rPr>
          <w:rFonts w:ascii="Times New Roman" w:hAnsi="Times New Roman"/>
          <w:sz w:val="22"/>
          <w:szCs w:val="22"/>
          <w:lang w:val="en-GB"/>
        </w:rPr>
        <w:t xml:space="preserve">case included in the memorandum of authorities </w:t>
      </w:r>
      <w:r>
        <w:rPr>
          <w:rFonts w:ascii="Times New Roman" w:hAnsi="Times New Roman"/>
          <w:sz w:val="22"/>
          <w:szCs w:val="22"/>
          <w:lang w:val="en-GB"/>
        </w:rPr>
        <w:t>is to</w:t>
      </w:r>
      <w:r w:rsidRPr="00886BC7">
        <w:rPr>
          <w:rFonts w:ascii="Times New Roman" w:hAnsi="Times New Roman"/>
          <w:sz w:val="22"/>
          <w:szCs w:val="22"/>
          <w:lang w:val="en-GB"/>
        </w:rPr>
        <w:t xml:space="preserve"> be from the </w:t>
      </w:r>
      <w:r>
        <w:rPr>
          <w:rFonts w:ascii="Times New Roman" w:hAnsi="Times New Roman"/>
          <w:sz w:val="22"/>
          <w:szCs w:val="22"/>
          <w:lang w:val="en-GB"/>
        </w:rPr>
        <w:t>same</w:t>
      </w:r>
      <w:r w:rsidRPr="00886BC7">
        <w:rPr>
          <w:rFonts w:ascii="Times New Roman" w:hAnsi="Times New Roman"/>
          <w:sz w:val="22"/>
          <w:szCs w:val="22"/>
          <w:lang w:val="en-GB"/>
        </w:rPr>
        <w:t xml:space="preserve"> reporting service cited</w:t>
      </w:r>
      <w:r>
        <w:rPr>
          <w:rFonts w:ascii="Times New Roman" w:hAnsi="Times New Roman"/>
          <w:sz w:val="22"/>
          <w:szCs w:val="22"/>
          <w:lang w:val="en-GB"/>
        </w:rPr>
        <w:t xml:space="preserve"> in the factum</w:t>
      </w:r>
      <w:r w:rsidRPr="00886BC7">
        <w:rPr>
          <w:rFonts w:ascii="Times New Roman" w:hAnsi="Times New Roman"/>
          <w:sz w:val="22"/>
          <w:szCs w:val="22"/>
          <w:lang w:val="en-GB"/>
        </w:rPr>
        <w:t xml:space="preserve">. For example, if a party references </w:t>
      </w:r>
      <w:r w:rsidRPr="00886BC7">
        <w:rPr>
          <w:rFonts w:ascii="Times New Roman" w:hAnsi="Times New Roman"/>
          <w:i/>
          <w:iCs/>
          <w:sz w:val="22"/>
          <w:szCs w:val="22"/>
          <w:lang w:val="en-GB"/>
        </w:rPr>
        <w:t>R</w:t>
      </w:r>
      <w:r>
        <w:rPr>
          <w:rFonts w:ascii="Times New Roman" w:hAnsi="Times New Roman"/>
          <w:i/>
          <w:iCs/>
          <w:sz w:val="22"/>
          <w:szCs w:val="22"/>
          <w:lang w:val="en-GB"/>
        </w:rPr>
        <w:t>.</w:t>
      </w:r>
      <w:r w:rsidRPr="00886BC7">
        <w:rPr>
          <w:rFonts w:ascii="Times New Roman" w:hAnsi="Times New Roman"/>
          <w:i/>
          <w:iCs/>
          <w:sz w:val="22"/>
          <w:szCs w:val="22"/>
          <w:lang w:val="en-GB"/>
        </w:rPr>
        <w:t xml:space="preserve"> v Oakes</w:t>
      </w:r>
      <w:r w:rsidRPr="00886BC7">
        <w:rPr>
          <w:rFonts w:ascii="Times New Roman" w:hAnsi="Times New Roman"/>
          <w:sz w:val="22"/>
          <w:szCs w:val="22"/>
          <w:lang w:val="en-GB"/>
        </w:rPr>
        <w:t>, [1986] 1 S.C.R. 103 in their factum, this Supreme Court Reports copy of the case should be in the</w:t>
      </w:r>
      <w:r>
        <w:rPr>
          <w:rFonts w:ascii="Times New Roman" w:hAnsi="Times New Roman"/>
          <w:sz w:val="22"/>
          <w:szCs w:val="22"/>
          <w:lang w:val="en-GB"/>
        </w:rPr>
        <w:t xml:space="preserve"> party’s</w:t>
      </w:r>
      <w:r w:rsidRPr="00886BC7">
        <w:rPr>
          <w:rFonts w:ascii="Times New Roman" w:hAnsi="Times New Roman"/>
          <w:sz w:val="22"/>
          <w:szCs w:val="22"/>
          <w:lang w:val="en-GB"/>
        </w:rPr>
        <w:t xml:space="preserve"> memorandum of authorities, and not, for example, the </w:t>
      </w:r>
      <w:proofErr w:type="spellStart"/>
      <w:r w:rsidRPr="00886BC7">
        <w:rPr>
          <w:rFonts w:ascii="Times New Roman" w:hAnsi="Times New Roman"/>
          <w:sz w:val="22"/>
          <w:szCs w:val="22"/>
          <w:lang w:val="en-GB"/>
        </w:rPr>
        <w:t>CanLII</w:t>
      </w:r>
      <w:proofErr w:type="spellEnd"/>
      <w:r w:rsidRPr="00886BC7">
        <w:rPr>
          <w:rFonts w:ascii="Times New Roman" w:hAnsi="Times New Roman"/>
          <w:sz w:val="22"/>
          <w:szCs w:val="22"/>
          <w:lang w:val="en-GB"/>
        </w:rPr>
        <w:t xml:space="preserve"> copy, cited as </w:t>
      </w:r>
      <w:r w:rsidRPr="00886BC7">
        <w:rPr>
          <w:rFonts w:ascii="Times New Roman" w:hAnsi="Times New Roman"/>
          <w:i/>
          <w:iCs/>
          <w:sz w:val="22"/>
          <w:szCs w:val="22"/>
          <w:lang w:val="en-GB"/>
        </w:rPr>
        <w:t>R</w:t>
      </w:r>
      <w:r>
        <w:rPr>
          <w:rFonts w:ascii="Times New Roman" w:hAnsi="Times New Roman"/>
          <w:i/>
          <w:iCs/>
          <w:sz w:val="22"/>
          <w:szCs w:val="22"/>
          <w:lang w:val="en-GB"/>
        </w:rPr>
        <w:t>.</w:t>
      </w:r>
      <w:r w:rsidRPr="00886BC7">
        <w:rPr>
          <w:rFonts w:ascii="Times New Roman" w:hAnsi="Times New Roman"/>
          <w:i/>
          <w:iCs/>
          <w:sz w:val="22"/>
          <w:szCs w:val="22"/>
          <w:lang w:val="en-GB"/>
        </w:rPr>
        <w:t xml:space="preserve"> v Oakes</w:t>
      </w:r>
      <w:r w:rsidRPr="00886BC7">
        <w:rPr>
          <w:rFonts w:ascii="Times New Roman" w:hAnsi="Times New Roman"/>
          <w:sz w:val="22"/>
          <w:szCs w:val="22"/>
          <w:lang w:val="en-GB"/>
        </w:rPr>
        <w:t>,</w:t>
      </w:r>
      <w:r w:rsidRPr="000C718C">
        <w:rPr>
          <w:rFonts w:ascii="Times New Roman" w:hAnsi="Times New Roman"/>
          <w:sz w:val="22"/>
          <w:szCs w:val="22"/>
          <w:lang w:val="en-GB"/>
        </w:rPr>
        <w:t xml:space="preserve"> </w:t>
      </w:r>
      <w:r w:rsidRPr="00886BC7">
        <w:rPr>
          <w:rFonts w:ascii="Times New Roman" w:hAnsi="Times New Roman"/>
          <w:sz w:val="22"/>
          <w:szCs w:val="22"/>
          <w:lang w:val="en-GB"/>
        </w:rPr>
        <w:t xml:space="preserve">1986 </w:t>
      </w:r>
      <w:proofErr w:type="spellStart"/>
      <w:r w:rsidRPr="00886BC7">
        <w:rPr>
          <w:rFonts w:ascii="Times New Roman" w:hAnsi="Times New Roman"/>
          <w:sz w:val="22"/>
          <w:szCs w:val="22"/>
          <w:lang w:val="en-GB"/>
        </w:rPr>
        <w:t>CanLII</w:t>
      </w:r>
      <w:proofErr w:type="spellEnd"/>
      <w:r w:rsidRPr="00886BC7">
        <w:rPr>
          <w:rFonts w:ascii="Times New Roman" w:hAnsi="Times New Roman"/>
          <w:sz w:val="22"/>
          <w:szCs w:val="22"/>
          <w:lang w:val="en-GB"/>
        </w:rPr>
        <w:t xml:space="preserve"> 46 (SCC).</w:t>
      </w:r>
    </w:p>
    <w:p w14:paraId="76069EDF" w14:textId="77777777" w:rsidR="00356530" w:rsidRPr="00886BC7" w:rsidRDefault="00356530" w:rsidP="00356530">
      <w:pPr>
        <w:pStyle w:val="ListParagraph"/>
        <w:spacing w:line="276" w:lineRule="auto"/>
        <w:ind w:left="1080"/>
        <w:jc w:val="both"/>
        <w:rPr>
          <w:rFonts w:ascii="Times New Roman" w:hAnsi="Times New Roman"/>
          <w:sz w:val="22"/>
          <w:szCs w:val="22"/>
          <w:lang w:val="en-GB"/>
        </w:rPr>
      </w:pPr>
    </w:p>
    <w:p w14:paraId="7709C8AB" w14:textId="77777777" w:rsidR="00356530" w:rsidRDefault="00356530" w:rsidP="00356530">
      <w:pPr>
        <w:pStyle w:val="ListParagraph"/>
        <w:spacing w:line="276" w:lineRule="auto"/>
        <w:rPr>
          <w:rFonts w:ascii="Times New Roman" w:hAnsi="Times New Roman"/>
          <w:sz w:val="22"/>
          <w:szCs w:val="22"/>
          <w:lang w:val="en-GB"/>
        </w:rPr>
      </w:pPr>
    </w:p>
    <w:p w14:paraId="4D644B78" w14:textId="77777777" w:rsidR="00356530" w:rsidRDefault="00356530" w:rsidP="00356530">
      <w:pPr>
        <w:pStyle w:val="ListParagraph"/>
        <w:spacing w:line="276" w:lineRule="auto"/>
        <w:rPr>
          <w:rFonts w:ascii="Times New Roman" w:hAnsi="Times New Roman"/>
          <w:sz w:val="22"/>
          <w:szCs w:val="22"/>
          <w:lang w:val="en-GB"/>
        </w:rPr>
      </w:pPr>
    </w:p>
    <w:p w14:paraId="1BB02478" w14:textId="77777777" w:rsidR="00356530" w:rsidRPr="00886BC7" w:rsidRDefault="00356530" w:rsidP="00356530">
      <w:pPr>
        <w:pStyle w:val="ListParagraph"/>
        <w:widowControl/>
        <w:numPr>
          <w:ilvl w:val="0"/>
          <w:numId w:val="1"/>
        </w:numPr>
        <w:shd w:val="clear" w:color="auto" w:fill="FFFFFF"/>
        <w:autoSpaceDE/>
        <w:autoSpaceDN/>
        <w:adjustRightInd/>
        <w:spacing w:before="180" w:after="180" w:line="276" w:lineRule="auto"/>
        <w:textAlignment w:val="baseline"/>
        <w:rPr>
          <w:rFonts w:ascii="Times New Roman" w:hAnsi="Times New Roman"/>
          <w:color w:val="000000"/>
          <w:sz w:val="22"/>
          <w:szCs w:val="22"/>
          <w:u w:val="single"/>
        </w:rPr>
      </w:pPr>
      <w:r w:rsidRPr="00886BC7">
        <w:rPr>
          <w:rFonts w:ascii="Times New Roman" w:hAnsi="Times New Roman"/>
          <w:color w:val="000000"/>
          <w:sz w:val="22"/>
          <w:szCs w:val="22"/>
          <w:u w:val="single"/>
        </w:rPr>
        <w:t xml:space="preserve">Filing of Statutes, Regulations, or </w:t>
      </w:r>
      <w:r w:rsidRPr="00822307">
        <w:rPr>
          <w:rFonts w:ascii="Times New Roman" w:hAnsi="Times New Roman"/>
          <w:i/>
          <w:iCs/>
          <w:color w:val="000000"/>
          <w:sz w:val="22"/>
          <w:szCs w:val="22"/>
          <w:u w:val="single"/>
        </w:rPr>
        <w:t>Rules</w:t>
      </w:r>
    </w:p>
    <w:p w14:paraId="4F73DC52" w14:textId="77777777" w:rsidR="00356530" w:rsidRPr="00886BC7" w:rsidRDefault="00356530" w:rsidP="00356530">
      <w:pPr>
        <w:pStyle w:val="ListParagraph"/>
        <w:spacing w:line="276" w:lineRule="auto"/>
        <w:ind w:left="1080"/>
        <w:jc w:val="both"/>
        <w:rPr>
          <w:rFonts w:ascii="Times New Roman" w:hAnsi="Times New Roman"/>
          <w:sz w:val="22"/>
          <w:szCs w:val="22"/>
          <w:lang w:val="en-GB"/>
        </w:rPr>
      </w:pPr>
    </w:p>
    <w:p w14:paraId="2AD80FA1" w14:textId="77777777" w:rsidR="00356530" w:rsidRPr="00886BC7" w:rsidRDefault="00356530" w:rsidP="00356530">
      <w:pPr>
        <w:pStyle w:val="ListParagraph"/>
        <w:spacing w:line="276" w:lineRule="auto"/>
        <w:ind w:left="1080"/>
        <w:jc w:val="both"/>
        <w:rPr>
          <w:rFonts w:ascii="Times New Roman" w:hAnsi="Times New Roman"/>
          <w:sz w:val="22"/>
          <w:szCs w:val="22"/>
          <w:lang w:val="en-GB"/>
        </w:rPr>
      </w:pPr>
      <w:r w:rsidRPr="00886BC7">
        <w:rPr>
          <w:rFonts w:ascii="Times New Roman" w:hAnsi="Times New Roman"/>
          <w:sz w:val="22"/>
          <w:szCs w:val="22"/>
          <w:lang w:val="en-GB"/>
        </w:rPr>
        <w:t xml:space="preserve">Where a statute, regulation or </w:t>
      </w:r>
      <w:r w:rsidRPr="00A8008B">
        <w:rPr>
          <w:rFonts w:ascii="Times New Roman" w:hAnsi="Times New Roman"/>
          <w:i/>
          <w:iCs/>
          <w:sz w:val="22"/>
          <w:szCs w:val="22"/>
          <w:lang w:val="en-GB"/>
        </w:rPr>
        <w:t>Rule</w:t>
      </w:r>
      <w:r w:rsidRPr="00886BC7">
        <w:rPr>
          <w:rFonts w:ascii="Times New Roman" w:hAnsi="Times New Roman"/>
          <w:sz w:val="22"/>
          <w:szCs w:val="22"/>
          <w:lang w:val="en-GB"/>
        </w:rPr>
        <w:t xml:space="preserve"> is being relied upon, it is not necessary to file the complete statute, regulation or </w:t>
      </w:r>
      <w:r w:rsidRPr="00A8008B">
        <w:rPr>
          <w:rFonts w:ascii="Times New Roman" w:hAnsi="Times New Roman"/>
          <w:i/>
          <w:iCs/>
          <w:sz w:val="22"/>
          <w:szCs w:val="22"/>
          <w:lang w:val="en-GB"/>
        </w:rPr>
        <w:t>Rule</w:t>
      </w:r>
      <w:r w:rsidRPr="00886BC7">
        <w:rPr>
          <w:rFonts w:ascii="Times New Roman" w:hAnsi="Times New Roman"/>
          <w:sz w:val="22"/>
          <w:szCs w:val="22"/>
          <w:lang w:val="en-GB"/>
        </w:rPr>
        <w:t>. It is sufficient to file only those sections being relied on.</w:t>
      </w:r>
    </w:p>
    <w:p w14:paraId="3DDC6529" w14:textId="77777777" w:rsidR="00356530" w:rsidRDefault="00356530" w:rsidP="00356530">
      <w:pPr>
        <w:pStyle w:val="ListParagraph"/>
        <w:spacing w:line="276" w:lineRule="auto"/>
        <w:ind w:left="1080"/>
        <w:jc w:val="both"/>
        <w:rPr>
          <w:rFonts w:ascii="Times New Roman" w:hAnsi="Times New Roman"/>
          <w:sz w:val="22"/>
          <w:szCs w:val="22"/>
          <w:u w:val="single"/>
          <w:lang w:val="en-GB"/>
        </w:rPr>
      </w:pPr>
    </w:p>
    <w:p w14:paraId="4B21AF49" w14:textId="77777777" w:rsidR="00356530" w:rsidRPr="00886BC7" w:rsidRDefault="00356530" w:rsidP="00356530">
      <w:pPr>
        <w:pStyle w:val="ListParagraph"/>
        <w:numPr>
          <w:ilvl w:val="0"/>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Common List of Authorities</w:t>
      </w:r>
    </w:p>
    <w:p w14:paraId="664E51BE" w14:textId="77777777" w:rsidR="00356530" w:rsidRPr="00886BC7" w:rsidRDefault="00356530" w:rsidP="00356530">
      <w:pPr>
        <w:tabs>
          <w:tab w:val="left" w:pos="-1440"/>
        </w:tabs>
        <w:spacing w:line="276" w:lineRule="auto"/>
        <w:jc w:val="center"/>
        <w:rPr>
          <w:rFonts w:ascii="Times New Roman" w:hAnsi="Times New Roman"/>
          <w:sz w:val="22"/>
          <w:szCs w:val="22"/>
          <w:lang w:val="en-GB"/>
        </w:rPr>
      </w:pPr>
    </w:p>
    <w:p w14:paraId="65A2D823" w14:textId="77777777" w:rsidR="00356530" w:rsidRPr="00886BC7" w:rsidRDefault="00356530" w:rsidP="00356530">
      <w:pPr>
        <w:pStyle w:val="ListParagraph"/>
        <w:numPr>
          <w:ilvl w:val="2"/>
          <w:numId w:val="1"/>
        </w:numPr>
        <w:tabs>
          <w:tab w:val="left" w:pos="-1440"/>
        </w:tabs>
        <w:spacing w:line="276" w:lineRule="auto"/>
        <w:jc w:val="both"/>
        <w:rPr>
          <w:rFonts w:ascii="Times New Roman" w:hAnsi="Times New Roman"/>
          <w:sz w:val="22"/>
          <w:szCs w:val="22"/>
          <w:lang w:val="en-GB"/>
        </w:rPr>
      </w:pPr>
      <w:proofErr w:type="gramStart"/>
      <w:r w:rsidRPr="00886BC7">
        <w:rPr>
          <w:rFonts w:ascii="Times New Roman" w:hAnsi="Times New Roman"/>
          <w:sz w:val="22"/>
          <w:szCs w:val="22"/>
          <w:lang w:val="en-GB"/>
        </w:rPr>
        <w:t>In an effort to</w:t>
      </w:r>
      <w:proofErr w:type="gramEnd"/>
      <w:r w:rsidRPr="00886BC7">
        <w:rPr>
          <w:rFonts w:ascii="Times New Roman" w:hAnsi="Times New Roman"/>
          <w:sz w:val="22"/>
          <w:szCs w:val="22"/>
          <w:lang w:val="en-GB"/>
        </w:rPr>
        <w:t xml:space="preserve"> decrease the frequency in which well-known cases are </w:t>
      </w:r>
      <w:proofErr w:type="gramStart"/>
      <w:r w:rsidRPr="00886BC7">
        <w:rPr>
          <w:rFonts w:ascii="Times New Roman" w:hAnsi="Times New Roman"/>
          <w:sz w:val="22"/>
          <w:szCs w:val="22"/>
          <w:lang w:val="en-GB"/>
        </w:rPr>
        <w:t>filed,</w:t>
      </w:r>
      <w:proofErr w:type="gramEnd"/>
      <w:r w:rsidRPr="00886BC7">
        <w:rPr>
          <w:rFonts w:ascii="Times New Roman" w:hAnsi="Times New Roman"/>
          <w:sz w:val="22"/>
          <w:szCs w:val="22"/>
          <w:lang w:val="en-GB"/>
        </w:rPr>
        <w:t xml:space="preserve"> the court has consulted with the bar and has created a list of common authorities by subject area. It is not necessary to file any case identified in the list of common authorities.</w:t>
      </w:r>
    </w:p>
    <w:p w14:paraId="334AA90E" w14:textId="77777777" w:rsidR="00356530" w:rsidRPr="00886BC7" w:rsidRDefault="00356530" w:rsidP="00356530">
      <w:pPr>
        <w:pStyle w:val="ListParagraph"/>
        <w:tabs>
          <w:tab w:val="left" w:pos="-1440"/>
        </w:tabs>
        <w:spacing w:line="276" w:lineRule="auto"/>
        <w:jc w:val="both"/>
        <w:rPr>
          <w:rFonts w:ascii="Times New Roman" w:hAnsi="Times New Roman"/>
          <w:sz w:val="22"/>
          <w:szCs w:val="22"/>
          <w:lang w:val="en-GB"/>
        </w:rPr>
      </w:pPr>
    </w:p>
    <w:p w14:paraId="52445EF8" w14:textId="77777777" w:rsidR="00356530" w:rsidRPr="00886BC7" w:rsidRDefault="00356530" w:rsidP="00356530">
      <w:pPr>
        <w:pStyle w:val="ListParagraph"/>
        <w:numPr>
          <w:ilvl w:val="2"/>
          <w:numId w:val="1"/>
        </w:numPr>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The Schedules </w:t>
      </w:r>
      <w:r>
        <w:rPr>
          <w:rFonts w:ascii="Times New Roman" w:hAnsi="Times New Roman"/>
          <w:sz w:val="22"/>
          <w:szCs w:val="22"/>
          <w:lang w:val="en-GB"/>
        </w:rPr>
        <w:t>attached</w:t>
      </w:r>
      <w:r w:rsidRPr="00886BC7">
        <w:rPr>
          <w:rFonts w:ascii="Times New Roman" w:hAnsi="Times New Roman"/>
          <w:sz w:val="22"/>
          <w:szCs w:val="22"/>
          <w:lang w:val="en-GB"/>
        </w:rPr>
        <w:t xml:space="preserve"> set out a list of common authorities which are </w:t>
      </w:r>
      <w:proofErr w:type="gramStart"/>
      <w:r w:rsidRPr="00886BC7">
        <w:rPr>
          <w:rFonts w:ascii="Times New Roman" w:hAnsi="Times New Roman"/>
          <w:sz w:val="22"/>
          <w:szCs w:val="22"/>
          <w:lang w:val="en-GB"/>
        </w:rPr>
        <w:t>subject-based</w:t>
      </w:r>
      <w:proofErr w:type="gramEnd"/>
      <w:r w:rsidRPr="00886BC7">
        <w:rPr>
          <w:rFonts w:ascii="Times New Roman" w:hAnsi="Times New Roman"/>
          <w:sz w:val="22"/>
          <w:szCs w:val="22"/>
          <w:lang w:val="en-GB"/>
        </w:rPr>
        <w:t>. When referring to a case</w:t>
      </w:r>
      <w:r>
        <w:rPr>
          <w:rFonts w:ascii="Times New Roman" w:hAnsi="Times New Roman"/>
          <w:sz w:val="22"/>
          <w:szCs w:val="22"/>
          <w:lang w:val="en-GB"/>
        </w:rPr>
        <w:t xml:space="preserve"> included in any of the attached schedules</w:t>
      </w:r>
      <w:r w:rsidRPr="00886BC7">
        <w:rPr>
          <w:rFonts w:ascii="Times New Roman" w:hAnsi="Times New Roman"/>
          <w:sz w:val="22"/>
          <w:szCs w:val="22"/>
          <w:lang w:val="en-GB"/>
        </w:rPr>
        <w:t>, reference need only be made to the paragraph and page number</w:t>
      </w:r>
      <w:r>
        <w:rPr>
          <w:rFonts w:ascii="Times New Roman" w:hAnsi="Times New Roman"/>
          <w:sz w:val="22"/>
          <w:szCs w:val="22"/>
          <w:lang w:val="en-GB"/>
        </w:rPr>
        <w:t xml:space="preserve"> of the case</w:t>
      </w:r>
      <w:r w:rsidRPr="00886BC7">
        <w:rPr>
          <w:rFonts w:ascii="Times New Roman" w:hAnsi="Times New Roman"/>
          <w:sz w:val="22"/>
          <w:szCs w:val="22"/>
          <w:lang w:val="en-GB"/>
        </w:rPr>
        <w:t xml:space="preserve">.  These Schedules </w:t>
      </w:r>
      <w:r>
        <w:rPr>
          <w:rFonts w:ascii="Times New Roman" w:hAnsi="Times New Roman"/>
          <w:sz w:val="22"/>
          <w:szCs w:val="22"/>
          <w:lang w:val="en-GB"/>
        </w:rPr>
        <w:t>may</w:t>
      </w:r>
      <w:r w:rsidRPr="00886BC7">
        <w:rPr>
          <w:rFonts w:ascii="Times New Roman" w:hAnsi="Times New Roman"/>
          <w:sz w:val="22"/>
          <w:szCs w:val="22"/>
          <w:lang w:val="en-GB"/>
        </w:rPr>
        <w:t xml:space="preserve"> be periodically updated.</w:t>
      </w:r>
    </w:p>
    <w:p w14:paraId="23FC249D" w14:textId="77777777" w:rsidR="00356530" w:rsidRDefault="00356530" w:rsidP="00356530">
      <w:pPr>
        <w:widowControl/>
        <w:autoSpaceDE/>
        <w:autoSpaceDN/>
        <w:adjustRightInd/>
        <w:spacing w:after="200" w:line="276" w:lineRule="auto"/>
        <w:jc w:val="center"/>
        <w:rPr>
          <w:rFonts w:ascii="Times New Roman" w:hAnsi="Times New Roman"/>
          <w:color w:val="000000"/>
          <w:sz w:val="22"/>
          <w:szCs w:val="22"/>
          <w:u w:val="single"/>
        </w:rPr>
      </w:pPr>
    </w:p>
    <w:p w14:paraId="1B1570AE" w14:textId="77777777" w:rsidR="00356530" w:rsidRDefault="00356530" w:rsidP="00356530">
      <w:pPr>
        <w:widowControl/>
        <w:autoSpaceDE/>
        <w:autoSpaceDN/>
        <w:adjustRightInd/>
        <w:spacing w:after="200" w:line="276" w:lineRule="auto"/>
        <w:jc w:val="center"/>
        <w:rPr>
          <w:rFonts w:ascii="Times New Roman" w:hAnsi="Times New Roman"/>
          <w:color w:val="000000"/>
          <w:sz w:val="22"/>
          <w:szCs w:val="22"/>
          <w:u w:val="single"/>
        </w:rPr>
        <w:sectPr w:rsidR="00356530" w:rsidSect="00356530">
          <w:footerReference w:type="default" r:id="rId7"/>
          <w:pgSz w:w="12240" w:h="15840"/>
          <w:pgMar w:top="1440" w:right="1440" w:bottom="1440" w:left="1440" w:header="720" w:footer="720" w:gutter="0"/>
          <w:pgNumType w:start="29"/>
          <w:cols w:space="720"/>
          <w:docGrid w:linePitch="360"/>
        </w:sectPr>
      </w:pPr>
    </w:p>
    <w:p w14:paraId="20908E4B" w14:textId="77777777" w:rsidR="00356530" w:rsidRDefault="00356530" w:rsidP="00356530">
      <w:pPr>
        <w:widowControl/>
        <w:autoSpaceDE/>
        <w:autoSpaceDN/>
        <w:adjustRightInd/>
        <w:spacing w:after="200" w:line="276" w:lineRule="auto"/>
        <w:rPr>
          <w:rFonts w:ascii="Times New Roman" w:hAnsi="Times New Roman"/>
          <w:color w:val="000000"/>
          <w:sz w:val="22"/>
          <w:szCs w:val="22"/>
          <w:u w:val="single"/>
        </w:rPr>
      </w:pPr>
      <w:r>
        <w:rPr>
          <w:rFonts w:ascii="Times New Roman" w:hAnsi="Times New Roman"/>
          <w:color w:val="000000"/>
          <w:sz w:val="22"/>
          <w:szCs w:val="22"/>
          <w:u w:val="single"/>
        </w:rPr>
        <w:br w:type="page"/>
      </w:r>
    </w:p>
    <w:p w14:paraId="64AF86DF" w14:textId="77777777" w:rsidR="00356530" w:rsidRPr="006D0A8D" w:rsidRDefault="00356530" w:rsidP="00356530">
      <w:pPr>
        <w:spacing w:line="276" w:lineRule="auto"/>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lastRenderedPageBreak/>
        <w:t xml:space="preserve">SCHEDULE </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A</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 xml:space="preserve"> TO COMMON LIST OF AUTHORITIES PRACTICE DIRECTION: ADMINISTRATIVE LAW</w:t>
      </w:r>
    </w:p>
    <w:p w14:paraId="3CD5F89F" w14:textId="77777777" w:rsidR="00356530" w:rsidRPr="00886BC7" w:rsidRDefault="00356530" w:rsidP="00356530">
      <w:pPr>
        <w:spacing w:line="276" w:lineRule="auto"/>
        <w:rPr>
          <w:rFonts w:ascii="Times New Roman" w:hAnsi="Times New Roman"/>
          <w:sz w:val="22"/>
          <w:szCs w:val="22"/>
          <w:u w:val="single"/>
          <w:lang w:val="en-GB"/>
        </w:rPr>
      </w:pPr>
    </w:p>
    <w:p w14:paraId="77AFBCE8" w14:textId="77777777" w:rsidR="00356530" w:rsidRPr="00B42B27" w:rsidRDefault="00356530" w:rsidP="00356530">
      <w:pPr>
        <w:pStyle w:val="ListParagraph"/>
        <w:numPr>
          <w:ilvl w:val="0"/>
          <w:numId w:val="4"/>
        </w:numPr>
        <w:spacing w:line="276" w:lineRule="auto"/>
        <w:rPr>
          <w:rFonts w:ascii="Times New Roman" w:hAnsi="Times New Roman"/>
          <w:sz w:val="22"/>
          <w:szCs w:val="22"/>
          <w:u w:val="single"/>
          <w:lang w:val="en-GB"/>
        </w:rPr>
      </w:pPr>
      <w:r w:rsidRPr="00B42B27">
        <w:rPr>
          <w:rFonts w:ascii="Times New Roman" w:eastAsiaTheme="minorHAnsi" w:hAnsi="Times New Roman"/>
          <w:i/>
          <w:iCs/>
          <w:sz w:val="22"/>
          <w:szCs w:val="22"/>
        </w:rPr>
        <w:t>Baker v. Canada (Minister of Citizenship and Immigration)</w:t>
      </w:r>
      <w:r w:rsidRPr="00B42B27">
        <w:rPr>
          <w:rFonts w:ascii="Times New Roman" w:eastAsiaTheme="minorHAnsi" w:hAnsi="Times New Roman"/>
          <w:sz w:val="22"/>
          <w:szCs w:val="22"/>
        </w:rPr>
        <w:t>, [1999] 2 S.C.R. 817</w:t>
      </w:r>
    </w:p>
    <w:p w14:paraId="2BEF059F" w14:textId="77777777" w:rsidR="00356530" w:rsidRPr="00B42B27" w:rsidRDefault="00356530" w:rsidP="00356530">
      <w:pPr>
        <w:pStyle w:val="ListParagraph"/>
        <w:widowControl/>
        <w:numPr>
          <w:ilvl w:val="0"/>
          <w:numId w:val="4"/>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Canada (Minister of Citizenship and Immigration) v. Vavilov</w:t>
      </w:r>
      <w:r w:rsidRPr="00B42B27">
        <w:rPr>
          <w:rFonts w:ascii="Times New Roman" w:eastAsiaTheme="minorHAnsi" w:hAnsi="Times New Roman"/>
          <w:sz w:val="22"/>
          <w:szCs w:val="22"/>
        </w:rPr>
        <w:t>, 2019 SCC 65</w:t>
      </w:r>
    </w:p>
    <w:p w14:paraId="0BB769A0" w14:textId="77777777" w:rsidR="00356530" w:rsidRPr="00B42B27" w:rsidRDefault="00356530" w:rsidP="00356530">
      <w:pPr>
        <w:pStyle w:val="ListParagraph"/>
        <w:widowControl/>
        <w:numPr>
          <w:ilvl w:val="0"/>
          <w:numId w:val="4"/>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Dunsmuir v. New Brunswick</w:t>
      </w:r>
      <w:r w:rsidRPr="00B42B27">
        <w:rPr>
          <w:rFonts w:ascii="Times New Roman" w:eastAsiaTheme="minorHAnsi" w:hAnsi="Times New Roman"/>
          <w:sz w:val="22"/>
          <w:szCs w:val="22"/>
        </w:rPr>
        <w:t>, 2008 SCC 9</w:t>
      </w:r>
    </w:p>
    <w:p w14:paraId="165BCFD5" w14:textId="77777777" w:rsidR="00356530" w:rsidRPr="00B42B27" w:rsidRDefault="00356530" w:rsidP="00356530">
      <w:pPr>
        <w:pStyle w:val="ListParagraph"/>
        <w:widowControl/>
        <w:numPr>
          <w:ilvl w:val="0"/>
          <w:numId w:val="4"/>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Housen v. Nikolaisen</w:t>
      </w:r>
      <w:r w:rsidRPr="00B42B27">
        <w:rPr>
          <w:rFonts w:ascii="Times New Roman" w:eastAsiaTheme="minorHAnsi" w:hAnsi="Times New Roman"/>
          <w:sz w:val="22"/>
          <w:szCs w:val="22"/>
        </w:rPr>
        <w:t>, 2002 SCC 33</w:t>
      </w:r>
    </w:p>
    <w:p w14:paraId="5B40D467" w14:textId="77777777" w:rsidR="00356530" w:rsidRDefault="00356530" w:rsidP="00356530">
      <w:pPr>
        <w:widowControl/>
        <w:autoSpaceDE/>
        <w:autoSpaceDN/>
        <w:adjustRightInd/>
        <w:spacing w:after="200" w:line="276" w:lineRule="auto"/>
        <w:jc w:val="center"/>
        <w:rPr>
          <w:rFonts w:ascii="Times New Roman" w:hAnsi="Times New Roman"/>
          <w:color w:val="000000"/>
          <w:sz w:val="22"/>
          <w:szCs w:val="22"/>
          <w:u w:val="single"/>
        </w:rPr>
        <w:sectPr w:rsidR="00356530" w:rsidSect="00356530">
          <w:footerReference w:type="default" r:id="rId8"/>
          <w:type w:val="continuous"/>
          <w:pgSz w:w="12240" w:h="15840"/>
          <w:pgMar w:top="1440" w:right="1440" w:bottom="1440" w:left="1440" w:header="720" w:footer="720" w:gutter="0"/>
          <w:pgNumType w:start="29"/>
          <w:cols w:space="720"/>
          <w:docGrid w:linePitch="360"/>
        </w:sectPr>
      </w:pPr>
    </w:p>
    <w:p w14:paraId="61214BD5" w14:textId="77777777" w:rsidR="00356530" w:rsidRDefault="00356530" w:rsidP="00356530">
      <w:pPr>
        <w:widowControl/>
        <w:autoSpaceDE/>
        <w:autoSpaceDN/>
        <w:adjustRightInd/>
        <w:spacing w:after="200" w:line="276" w:lineRule="auto"/>
        <w:rPr>
          <w:rFonts w:ascii="Times New Roman" w:hAnsi="Times New Roman"/>
          <w:color w:val="000000"/>
          <w:sz w:val="22"/>
          <w:szCs w:val="22"/>
          <w:u w:val="single"/>
        </w:rPr>
      </w:pPr>
      <w:r>
        <w:rPr>
          <w:rFonts w:ascii="Times New Roman" w:hAnsi="Times New Roman"/>
          <w:color w:val="000000"/>
          <w:sz w:val="22"/>
          <w:szCs w:val="22"/>
          <w:u w:val="single"/>
        </w:rPr>
        <w:br w:type="page"/>
      </w:r>
    </w:p>
    <w:p w14:paraId="5567111B" w14:textId="77777777" w:rsidR="00356530" w:rsidRDefault="00356530" w:rsidP="00356530">
      <w:pPr>
        <w:pStyle w:val="ListBullet"/>
        <w:numPr>
          <w:ilvl w:val="0"/>
          <w:numId w:val="0"/>
        </w:numPr>
        <w:spacing w:line="276" w:lineRule="auto"/>
        <w:ind w:left="360" w:hanging="360"/>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lastRenderedPageBreak/>
        <w:t xml:space="preserve">SCHEDULE </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B</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 xml:space="preserve"> TO COMMON LIST OF AUTHORITIES PRACTICE DIRECTION: </w:t>
      </w:r>
    </w:p>
    <w:p w14:paraId="6E0813C5" w14:textId="77777777" w:rsidR="00356530" w:rsidRPr="006D0A8D" w:rsidRDefault="00356530" w:rsidP="00356530">
      <w:pPr>
        <w:pStyle w:val="ListBullet"/>
        <w:numPr>
          <w:ilvl w:val="0"/>
          <w:numId w:val="0"/>
        </w:numPr>
        <w:spacing w:line="276" w:lineRule="auto"/>
        <w:ind w:left="360" w:hanging="360"/>
        <w:jc w:val="center"/>
        <w:rPr>
          <w:rFonts w:ascii="Times New Roman" w:eastAsiaTheme="minorHAnsi" w:hAnsi="Times New Roman"/>
          <w:b/>
          <w:bCs/>
          <w:sz w:val="22"/>
          <w:szCs w:val="22"/>
          <w:u w:val="single"/>
        </w:rPr>
      </w:pPr>
      <w:r w:rsidRPr="006D0A8D">
        <w:rPr>
          <w:rFonts w:ascii="Times New Roman" w:eastAsiaTheme="minorHAnsi" w:hAnsi="Times New Roman"/>
          <w:b/>
          <w:bCs/>
          <w:sz w:val="22"/>
          <w:szCs w:val="22"/>
          <w:u w:val="single"/>
        </w:rPr>
        <w:t>CIVIL LAW</w:t>
      </w:r>
    </w:p>
    <w:p w14:paraId="46EB5A09" w14:textId="77777777" w:rsidR="00356530" w:rsidRPr="00886BC7" w:rsidRDefault="00356530" w:rsidP="00356530">
      <w:pPr>
        <w:widowControl/>
        <w:autoSpaceDE/>
        <w:autoSpaceDN/>
        <w:adjustRightInd/>
        <w:spacing w:line="276" w:lineRule="auto"/>
        <w:rPr>
          <w:rFonts w:ascii="Times New Roman" w:eastAsiaTheme="minorHAnsi" w:hAnsi="Times New Roman"/>
          <w:sz w:val="22"/>
          <w:szCs w:val="22"/>
          <w:u w:val="single"/>
        </w:rPr>
      </w:pPr>
    </w:p>
    <w:p w14:paraId="4DE9F3A5" w14:textId="77777777" w:rsidR="00356530" w:rsidRPr="00886BC7" w:rsidRDefault="00356530" w:rsidP="00356530">
      <w:pPr>
        <w:widowControl/>
        <w:autoSpaceDE/>
        <w:autoSpaceDN/>
        <w:adjustRightInd/>
        <w:spacing w:line="276" w:lineRule="auto"/>
        <w:rPr>
          <w:rFonts w:ascii="Times New Roman" w:eastAsiaTheme="minorHAnsi" w:hAnsi="Times New Roman"/>
          <w:i/>
          <w:iCs/>
          <w:sz w:val="22"/>
          <w:szCs w:val="22"/>
        </w:rPr>
      </w:pPr>
    </w:p>
    <w:p w14:paraId="2334DBC2" w14:textId="77777777" w:rsidR="00356530" w:rsidRPr="00886BC7" w:rsidRDefault="00356530" w:rsidP="00356530">
      <w:pPr>
        <w:pStyle w:val="ListParagraph"/>
        <w:widowControl/>
        <w:numPr>
          <w:ilvl w:val="0"/>
          <w:numId w:val="5"/>
        </w:numPr>
        <w:autoSpaceDE/>
        <w:autoSpaceDN/>
        <w:adjustRightInd/>
        <w:spacing w:line="276" w:lineRule="auto"/>
        <w:rPr>
          <w:rFonts w:ascii="Times New Roman" w:eastAsiaTheme="minorHAnsi" w:hAnsi="Times New Roman"/>
          <w:sz w:val="22"/>
          <w:szCs w:val="22"/>
        </w:rPr>
      </w:pPr>
      <w:r w:rsidRPr="00886BC7">
        <w:rPr>
          <w:rFonts w:ascii="Times New Roman" w:eastAsiaTheme="minorHAnsi" w:hAnsi="Times New Roman"/>
          <w:sz w:val="22"/>
          <w:szCs w:val="22"/>
        </w:rPr>
        <w:t>Summary Judgment</w:t>
      </w:r>
    </w:p>
    <w:p w14:paraId="3DDF5AA6" w14:textId="77777777" w:rsidR="00356530" w:rsidRPr="00886BC7" w:rsidRDefault="00356530" w:rsidP="00356530">
      <w:pPr>
        <w:pStyle w:val="ListBullet"/>
        <w:numPr>
          <w:ilvl w:val="0"/>
          <w:numId w:val="0"/>
        </w:numPr>
        <w:spacing w:line="276" w:lineRule="auto"/>
        <w:ind w:left="1080" w:firstLine="360"/>
        <w:rPr>
          <w:rFonts w:ascii="Times New Roman" w:eastAsiaTheme="minorHAnsi" w:hAnsi="Times New Roman"/>
          <w:i/>
          <w:iCs/>
          <w:sz w:val="22"/>
          <w:szCs w:val="22"/>
        </w:rPr>
      </w:pPr>
      <w:proofErr w:type="spellStart"/>
      <w:r w:rsidRPr="00886BC7">
        <w:rPr>
          <w:rFonts w:ascii="Times New Roman" w:eastAsiaTheme="minorHAnsi" w:hAnsi="Times New Roman"/>
          <w:i/>
          <w:iCs/>
          <w:sz w:val="22"/>
          <w:szCs w:val="22"/>
        </w:rPr>
        <w:t>Hryniak</w:t>
      </w:r>
      <w:proofErr w:type="spellEnd"/>
      <w:r w:rsidRPr="00886BC7">
        <w:rPr>
          <w:rFonts w:ascii="Times New Roman" w:eastAsiaTheme="minorHAnsi" w:hAnsi="Times New Roman"/>
          <w:i/>
          <w:iCs/>
          <w:sz w:val="22"/>
          <w:szCs w:val="22"/>
        </w:rPr>
        <w:t xml:space="preserve"> v. Mauldin, </w:t>
      </w:r>
      <w:r w:rsidRPr="00886BC7">
        <w:rPr>
          <w:rFonts w:ascii="Times New Roman" w:eastAsiaTheme="minorHAnsi" w:hAnsi="Times New Roman"/>
          <w:sz w:val="22"/>
          <w:szCs w:val="22"/>
        </w:rPr>
        <w:t>2014 SCC 17</w:t>
      </w:r>
    </w:p>
    <w:p w14:paraId="3CA55C7C" w14:textId="77777777" w:rsidR="00356530" w:rsidRPr="00886BC7" w:rsidRDefault="00356530" w:rsidP="00356530">
      <w:pPr>
        <w:pStyle w:val="ListBullet"/>
        <w:numPr>
          <w:ilvl w:val="0"/>
          <w:numId w:val="0"/>
        </w:numPr>
        <w:spacing w:line="276" w:lineRule="auto"/>
        <w:ind w:left="360" w:hanging="360"/>
        <w:rPr>
          <w:rFonts w:ascii="Times New Roman" w:eastAsiaTheme="minorHAnsi" w:hAnsi="Times New Roman"/>
          <w:sz w:val="22"/>
          <w:szCs w:val="22"/>
        </w:rPr>
      </w:pPr>
    </w:p>
    <w:p w14:paraId="2ED9D425" w14:textId="77777777" w:rsidR="00356530" w:rsidRPr="00886BC7" w:rsidRDefault="00356530" w:rsidP="00356530">
      <w:pPr>
        <w:pStyle w:val="ListBullet"/>
        <w:numPr>
          <w:ilvl w:val="0"/>
          <w:numId w:val="5"/>
        </w:numPr>
        <w:spacing w:line="276" w:lineRule="auto"/>
        <w:rPr>
          <w:rFonts w:ascii="Times New Roman" w:eastAsiaTheme="minorHAnsi" w:hAnsi="Times New Roman"/>
          <w:sz w:val="22"/>
          <w:szCs w:val="22"/>
        </w:rPr>
      </w:pPr>
      <w:r w:rsidRPr="00886BC7">
        <w:rPr>
          <w:rFonts w:ascii="Times New Roman" w:eastAsiaTheme="minorHAnsi" w:hAnsi="Times New Roman"/>
          <w:sz w:val="22"/>
          <w:szCs w:val="22"/>
        </w:rPr>
        <w:t>Costs</w:t>
      </w:r>
    </w:p>
    <w:p w14:paraId="75AC53C6" w14:textId="77777777" w:rsidR="00356530" w:rsidRPr="00CA1ABA" w:rsidRDefault="00356530" w:rsidP="00356530">
      <w:pPr>
        <w:pStyle w:val="ListBullet"/>
        <w:numPr>
          <w:ilvl w:val="0"/>
          <w:numId w:val="6"/>
        </w:numPr>
        <w:spacing w:line="276" w:lineRule="auto"/>
        <w:rPr>
          <w:rFonts w:ascii="Times New Roman" w:eastAsiaTheme="minorHAnsi" w:hAnsi="Times New Roman"/>
          <w:sz w:val="22"/>
          <w:szCs w:val="22"/>
        </w:rPr>
      </w:pPr>
      <w:r>
        <w:rPr>
          <w:rFonts w:ascii="Times New Roman" w:eastAsiaTheme="minorHAnsi" w:hAnsi="Times New Roman"/>
          <w:i/>
          <w:iCs/>
          <w:sz w:val="22"/>
          <w:szCs w:val="22"/>
        </w:rPr>
        <w:t xml:space="preserve">Jay v DHL, </w:t>
      </w:r>
      <w:r>
        <w:rPr>
          <w:rFonts w:ascii="Times New Roman" w:eastAsiaTheme="minorHAnsi" w:hAnsi="Times New Roman"/>
          <w:sz w:val="22"/>
          <w:szCs w:val="22"/>
        </w:rPr>
        <w:t>2009 PECA 11</w:t>
      </w:r>
    </w:p>
    <w:p w14:paraId="6F16C5F1" w14:textId="77777777" w:rsidR="00356530" w:rsidRDefault="00356530" w:rsidP="00356530">
      <w:pPr>
        <w:pStyle w:val="ListBullet"/>
        <w:numPr>
          <w:ilvl w:val="0"/>
          <w:numId w:val="6"/>
        </w:numPr>
        <w:spacing w:line="276" w:lineRule="auto"/>
        <w:rPr>
          <w:rFonts w:ascii="Times New Roman" w:eastAsiaTheme="minorHAnsi" w:hAnsi="Times New Roman"/>
          <w:sz w:val="22"/>
          <w:szCs w:val="22"/>
        </w:rPr>
      </w:pPr>
      <w:r>
        <w:rPr>
          <w:rFonts w:ascii="Times New Roman" w:eastAsiaTheme="minorHAnsi" w:hAnsi="Times New Roman"/>
          <w:i/>
          <w:iCs/>
          <w:sz w:val="22"/>
          <w:szCs w:val="22"/>
        </w:rPr>
        <w:t xml:space="preserve">MacPherson v. Ellis, </w:t>
      </w:r>
      <w:r>
        <w:rPr>
          <w:rFonts w:ascii="Times New Roman" w:eastAsiaTheme="minorHAnsi" w:hAnsi="Times New Roman"/>
          <w:sz w:val="22"/>
          <w:szCs w:val="22"/>
        </w:rPr>
        <w:t>2005 PESCAD 19</w:t>
      </w:r>
    </w:p>
    <w:p w14:paraId="57B4A7DC" w14:textId="77777777" w:rsidR="00356530" w:rsidRDefault="00356530" w:rsidP="00356530">
      <w:pPr>
        <w:pStyle w:val="ListBullet"/>
        <w:numPr>
          <w:ilvl w:val="0"/>
          <w:numId w:val="6"/>
        </w:numPr>
        <w:spacing w:line="276" w:lineRule="auto"/>
        <w:rPr>
          <w:rFonts w:ascii="Times New Roman" w:eastAsiaTheme="minorHAnsi" w:hAnsi="Times New Roman"/>
          <w:sz w:val="22"/>
          <w:szCs w:val="22"/>
        </w:rPr>
      </w:pPr>
      <w:r w:rsidRPr="00886BC7">
        <w:rPr>
          <w:rFonts w:ascii="Times New Roman" w:eastAsiaTheme="minorHAnsi" w:hAnsi="Times New Roman"/>
          <w:i/>
          <w:iCs/>
          <w:sz w:val="22"/>
          <w:szCs w:val="22"/>
        </w:rPr>
        <w:t>Oliver v. Severance</w:t>
      </w:r>
      <w:r w:rsidRPr="00886BC7">
        <w:rPr>
          <w:rFonts w:ascii="Times New Roman" w:eastAsiaTheme="minorHAnsi" w:hAnsi="Times New Roman"/>
          <w:sz w:val="22"/>
          <w:szCs w:val="22"/>
        </w:rPr>
        <w:t>, 2007 PESCAD</w:t>
      </w:r>
      <w:r>
        <w:rPr>
          <w:rFonts w:ascii="Times New Roman" w:eastAsiaTheme="minorHAnsi" w:hAnsi="Times New Roman"/>
          <w:sz w:val="22"/>
          <w:szCs w:val="22"/>
        </w:rPr>
        <w:t xml:space="preserve"> 21</w:t>
      </w:r>
    </w:p>
    <w:p w14:paraId="48987FC2" w14:textId="77777777" w:rsidR="00356530" w:rsidRPr="00886BC7" w:rsidRDefault="00356530" w:rsidP="00356530">
      <w:pPr>
        <w:pStyle w:val="ListBullet"/>
        <w:numPr>
          <w:ilvl w:val="0"/>
          <w:numId w:val="0"/>
        </w:numPr>
        <w:spacing w:line="276" w:lineRule="auto"/>
        <w:ind w:left="360" w:hanging="360"/>
        <w:rPr>
          <w:rFonts w:ascii="Times New Roman" w:eastAsiaTheme="minorHAnsi" w:hAnsi="Times New Roman"/>
          <w:sz w:val="22"/>
          <w:szCs w:val="22"/>
        </w:rPr>
      </w:pPr>
    </w:p>
    <w:p w14:paraId="1D6A1157" w14:textId="77777777" w:rsidR="00356530" w:rsidRPr="00886BC7" w:rsidRDefault="00356530" w:rsidP="00356530">
      <w:pPr>
        <w:pStyle w:val="ListBullet"/>
        <w:numPr>
          <w:ilvl w:val="0"/>
          <w:numId w:val="5"/>
        </w:numPr>
        <w:spacing w:line="276" w:lineRule="auto"/>
        <w:rPr>
          <w:rFonts w:ascii="Times New Roman" w:eastAsiaTheme="minorHAnsi" w:hAnsi="Times New Roman"/>
          <w:sz w:val="22"/>
          <w:szCs w:val="22"/>
        </w:rPr>
      </w:pPr>
      <w:r w:rsidRPr="00886BC7">
        <w:rPr>
          <w:rFonts w:ascii="Times New Roman" w:eastAsiaTheme="minorHAnsi" w:hAnsi="Times New Roman"/>
          <w:sz w:val="22"/>
          <w:szCs w:val="22"/>
        </w:rPr>
        <w:t>Experts</w:t>
      </w:r>
    </w:p>
    <w:p w14:paraId="0928049C" w14:textId="77777777" w:rsidR="00356530" w:rsidRPr="00B42B27" w:rsidRDefault="00356530" w:rsidP="00356530">
      <w:pPr>
        <w:pStyle w:val="ListParagraph"/>
        <w:widowControl/>
        <w:numPr>
          <w:ilvl w:val="0"/>
          <w:numId w:val="7"/>
        </w:numPr>
        <w:autoSpaceDE/>
        <w:autoSpaceDN/>
        <w:adjustRightInd/>
        <w:spacing w:line="276" w:lineRule="auto"/>
        <w:rPr>
          <w:rFonts w:ascii="Times New Roman" w:hAnsi="Times New Roman"/>
          <w:sz w:val="22"/>
          <w:szCs w:val="22"/>
        </w:rPr>
      </w:pPr>
      <w:r w:rsidRPr="00B42B27">
        <w:rPr>
          <w:rFonts w:ascii="Times New Roman" w:hAnsi="Times New Roman"/>
          <w:i/>
          <w:iCs/>
          <w:sz w:val="22"/>
          <w:szCs w:val="22"/>
        </w:rPr>
        <w:t xml:space="preserve">R. v. Abbey, </w:t>
      </w:r>
      <w:r w:rsidRPr="00B42B27">
        <w:rPr>
          <w:rFonts w:ascii="Times New Roman" w:hAnsi="Times New Roman"/>
          <w:sz w:val="22"/>
          <w:szCs w:val="22"/>
        </w:rPr>
        <w:t>2017 ONCA 640</w:t>
      </w:r>
    </w:p>
    <w:p w14:paraId="5F458B85" w14:textId="77777777" w:rsidR="00356530" w:rsidRPr="00B42B27" w:rsidRDefault="00356530" w:rsidP="00356530">
      <w:pPr>
        <w:pStyle w:val="ListParagraph"/>
        <w:widowControl/>
        <w:numPr>
          <w:ilvl w:val="0"/>
          <w:numId w:val="7"/>
        </w:numPr>
        <w:autoSpaceDE/>
        <w:autoSpaceDN/>
        <w:adjustRightInd/>
        <w:spacing w:line="276" w:lineRule="auto"/>
        <w:rPr>
          <w:rFonts w:ascii="Times New Roman" w:hAnsi="Times New Roman"/>
          <w:sz w:val="22"/>
          <w:szCs w:val="22"/>
        </w:rPr>
      </w:pPr>
      <w:r w:rsidRPr="00B42B27">
        <w:rPr>
          <w:rFonts w:ascii="Times New Roman" w:hAnsi="Times New Roman"/>
          <w:i/>
          <w:iCs/>
          <w:sz w:val="22"/>
          <w:szCs w:val="22"/>
        </w:rPr>
        <w:t>R. v. Mohan</w:t>
      </w:r>
      <w:r w:rsidRPr="00B42B27">
        <w:rPr>
          <w:rFonts w:ascii="Times New Roman" w:hAnsi="Times New Roman"/>
          <w:sz w:val="22"/>
          <w:szCs w:val="22"/>
        </w:rPr>
        <w:t>, 1994 2 S</w:t>
      </w:r>
      <w:r>
        <w:rPr>
          <w:rFonts w:ascii="Times New Roman" w:hAnsi="Times New Roman"/>
          <w:sz w:val="22"/>
          <w:szCs w:val="22"/>
        </w:rPr>
        <w:t>.</w:t>
      </w:r>
      <w:r w:rsidRPr="00B42B27">
        <w:rPr>
          <w:rFonts w:ascii="Times New Roman" w:hAnsi="Times New Roman"/>
          <w:sz w:val="22"/>
          <w:szCs w:val="22"/>
        </w:rPr>
        <w:t>C</w:t>
      </w:r>
      <w:r>
        <w:rPr>
          <w:rFonts w:ascii="Times New Roman" w:hAnsi="Times New Roman"/>
          <w:sz w:val="22"/>
          <w:szCs w:val="22"/>
        </w:rPr>
        <w:t>.</w:t>
      </w:r>
      <w:r w:rsidRPr="00B42B27">
        <w:rPr>
          <w:rFonts w:ascii="Times New Roman" w:hAnsi="Times New Roman"/>
          <w:sz w:val="22"/>
          <w:szCs w:val="22"/>
        </w:rPr>
        <w:t>R 9</w:t>
      </w:r>
    </w:p>
    <w:p w14:paraId="0A0645A9" w14:textId="77777777" w:rsidR="00356530" w:rsidRPr="00B42B27" w:rsidRDefault="00356530" w:rsidP="00356530">
      <w:pPr>
        <w:pStyle w:val="ListParagraph"/>
        <w:widowControl/>
        <w:numPr>
          <w:ilvl w:val="0"/>
          <w:numId w:val="7"/>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 xml:space="preserve">White Burgess Langille Inman v. Abbott and Haliburton Co., </w:t>
      </w:r>
      <w:r w:rsidRPr="00B42B27">
        <w:rPr>
          <w:rFonts w:ascii="Times New Roman" w:eastAsiaTheme="minorHAnsi" w:hAnsi="Times New Roman"/>
          <w:sz w:val="22"/>
          <w:szCs w:val="22"/>
        </w:rPr>
        <w:t>2015 SCC 23</w:t>
      </w:r>
    </w:p>
    <w:p w14:paraId="2DAB1DCB" w14:textId="77777777" w:rsidR="00356530" w:rsidRDefault="00356530" w:rsidP="00356530">
      <w:pPr>
        <w:widowControl/>
        <w:autoSpaceDE/>
        <w:autoSpaceDN/>
        <w:adjustRightInd/>
        <w:spacing w:after="200" w:line="276" w:lineRule="auto"/>
        <w:jc w:val="center"/>
        <w:rPr>
          <w:rFonts w:ascii="Times New Roman" w:hAnsi="Times New Roman"/>
          <w:color w:val="000000"/>
          <w:sz w:val="22"/>
          <w:szCs w:val="22"/>
          <w:u w:val="single"/>
        </w:rPr>
        <w:sectPr w:rsidR="00356530" w:rsidSect="00356530">
          <w:footerReference w:type="default" r:id="rId9"/>
          <w:type w:val="continuous"/>
          <w:pgSz w:w="12240" w:h="15840"/>
          <w:pgMar w:top="1440" w:right="1440" w:bottom="1440" w:left="1440" w:header="720" w:footer="720" w:gutter="0"/>
          <w:pgNumType w:start="29"/>
          <w:cols w:space="720"/>
          <w:docGrid w:linePitch="360"/>
        </w:sectPr>
      </w:pPr>
    </w:p>
    <w:p w14:paraId="18A2AD78" w14:textId="77777777" w:rsidR="00356530" w:rsidRDefault="00356530" w:rsidP="00356530">
      <w:pPr>
        <w:widowControl/>
        <w:autoSpaceDE/>
        <w:autoSpaceDN/>
        <w:adjustRightInd/>
        <w:spacing w:after="200" w:line="276" w:lineRule="auto"/>
        <w:rPr>
          <w:rFonts w:ascii="Times New Roman" w:hAnsi="Times New Roman"/>
          <w:color w:val="000000"/>
          <w:sz w:val="22"/>
          <w:szCs w:val="22"/>
          <w:u w:val="single"/>
        </w:rPr>
      </w:pPr>
      <w:r>
        <w:rPr>
          <w:rFonts w:ascii="Times New Roman" w:hAnsi="Times New Roman"/>
          <w:color w:val="000000"/>
          <w:sz w:val="22"/>
          <w:szCs w:val="22"/>
          <w:u w:val="single"/>
        </w:rPr>
        <w:br w:type="page"/>
      </w:r>
    </w:p>
    <w:p w14:paraId="33E59B54" w14:textId="77777777" w:rsidR="00356530" w:rsidRPr="006D0A8D" w:rsidRDefault="00356530" w:rsidP="00356530">
      <w:pPr>
        <w:spacing w:line="276" w:lineRule="auto"/>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lastRenderedPageBreak/>
        <w:t xml:space="preserve">SCHEDULE </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C</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 xml:space="preserve"> TO COMMON LIST OF AUTHORITIES PRACTICE DIRECTION: CRIMINAL LAW</w:t>
      </w:r>
    </w:p>
    <w:p w14:paraId="0A84AAFA" w14:textId="77777777" w:rsidR="00356530" w:rsidRPr="00886BC7" w:rsidRDefault="00356530" w:rsidP="00356530">
      <w:pPr>
        <w:widowControl/>
        <w:autoSpaceDE/>
        <w:autoSpaceDN/>
        <w:adjustRightInd/>
        <w:spacing w:line="276" w:lineRule="auto"/>
        <w:jc w:val="center"/>
        <w:rPr>
          <w:rFonts w:ascii="Times New Roman" w:eastAsiaTheme="minorHAnsi" w:hAnsi="Times New Roman"/>
          <w:sz w:val="22"/>
          <w:szCs w:val="22"/>
          <w:u w:val="single"/>
        </w:rPr>
      </w:pPr>
    </w:p>
    <w:p w14:paraId="1E9FFAE9"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Anthony-Cook</w:t>
      </w:r>
      <w:r w:rsidRPr="00B42B27">
        <w:rPr>
          <w:rFonts w:ascii="Times New Roman" w:eastAsiaTheme="minorHAnsi" w:hAnsi="Times New Roman"/>
          <w:sz w:val="22"/>
          <w:szCs w:val="22"/>
        </w:rPr>
        <w:t>, [2016] 2 S.C.R. 204</w:t>
      </w:r>
    </w:p>
    <w:p w14:paraId="7A69780F"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R. v. B. (K.G.)</w:t>
      </w:r>
      <w:r w:rsidRPr="00B42B27">
        <w:rPr>
          <w:rFonts w:ascii="Times New Roman" w:eastAsiaTheme="minorHAnsi" w:hAnsi="Times New Roman"/>
          <w:sz w:val="22"/>
          <w:szCs w:val="22"/>
          <w:lang w:val="fr-FR"/>
        </w:rPr>
        <w:t>, [1993] 1 S.C.R. 740</w:t>
      </w:r>
    </w:p>
    <w:p w14:paraId="3B2FD93A"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R. v. Barton</w:t>
      </w:r>
      <w:r w:rsidRPr="00B42B27">
        <w:rPr>
          <w:rFonts w:ascii="Times New Roman" w:eastAsiaTheme="minorHAnsi" w:hAnsi="Times New Roman"/>
          <w:sz w:val="22"/>
          <w:szCs w:val="22"/>
          <w:lang w:val="fr-FR"/>
        </w:rPr>
        <w:t>, 2019 SCC 33</w:t>
      </w:r>
    </w:p>
    <w:p w14:paraId="35AD50A0"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Collins</w:t>
      </w:r>
      <w:r w:rsidRPr="00B42B27">
        <w:rPr>
          <w:rFonts w:ascii="Times New Roman" w:eastAsiaTheme="minorHAnsi" w:hAnsi="Times New Roman"/>
          <w:sz w:val="22"/>
          <w:szCs w:val="22"/>
        </w:rPr>
        <w:t>, [1987] 1 S.C.R. 265</w:t>
      </w:r>
    </w:p>
    <w:p w14:paraId="54FAD9B3"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Corbett</w:t>
      </w:r>
      <w:r w:rsidRPr="00B42B27">
        <w:rPr>
          <w:rFonts w:ascii="Times New Roman" w:eastAsiaTheme="minorHAnsi" w:hAnsi="Times New Roman"/>
          <w:sz w:val="22"/>
          <w:szCs w:val="22"/>
        </w:rPr>
        <w:t>, [1988] 1 S.C.R. 670</w:t>
      </w:r>
    </w:p>
    <w:p w14:paraId="367E7E1F"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Friesen</w:t>
      </w:r>
      <w:r w:rsidRPr="00B42B27">
        <w:rPr>
          <w:rFonts w:ascii="Times New Roman" w:eastAsiaTheme="minorHAnsi" w:hAnsi="Times New Roman"/>
          <w:sz w:val="22"/>
          <w:szCs w:val="22"/>
        </w:rPr>
        <w:t>, [2020] 1 S.C.R. 424</w:t>
      </w:r>
    </w:p>
    <w:p w14:paraId="2DB939CA"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R. v. Gagnon</w:t>
      </w:r>
      <w:r w:rsidRPr="00B42B27">
        <w:rPr>
          <w:rFonts w:ascii="Times New Roman" w:eastAsiaTheme="minorHAnsi" w:hAnsi="Times New Roman"/>
          <w:sz w:val="22"/>
          <w:szCs w:val="22"/>
          <w:lang w:val="fr-FR"/>
        </w:rPr>
        <w:t>, [2006] 1 S.C.R. 621</w:t>
      </w:r>
    </w:p>
    <w:p w14:paraId="35EABBA5"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 xml:space="preserve">R. v. </w:t>
      </w:r>
      <w:proofErr w:type="spellStart"/>
      <w:r w:rsidRPr="00B42B27">
        <w:rPr>
          <w:rFonts w:ascii="Times New Roman" w:eastAsiaTheme="minorHAnsi" w:hAnsi="Times New Roman"/>
          <w:i/>
          <w:iCs/>
          <w:sz w:val="22"/>
          <w:szCs w:val="22"/>
          <w:lang w:val="fr-FR"/>
        </w:rPr>
        <w:t>Gladue</w:t>
      </w:r>
      <w:proofErr w:type="spellEnd"/>
      <w:r w:rsidRPr="00B42B27">
        <w:rPr>
          <w:rFonts w:ascii="Times New Roman" w:eastAsiaTheme="minorHAnsi" w:hAnsi="Times New Roman"/>
          <w:sz w:val="22"/>
          <w:szCs w:val="22"/>
          <w:lang w:val="fr-FR"/>
        </w:rPr>
        <w:t>, [1999] 1 S.C.R. 688</w:t>
      </w:r>
    </w:p>
    <w:p w14:paraId="092D8ACD"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Goldfinch</w:t>
      </w:r>
      <w:r w:rsidRPr="00B42B27">
        <w:rPr>
          <w:rFonts w:ascii="Times New Roman" w:eastAsiaTheme="minorHAnsi" w:hAnsi="Times New Roman"/>
          <w:sz w:val="22"/>
          <w:szCs w:val="22"/>
        </w:rPr>
        <w:t>, 2019 SCC 353</w:t>
      </w:r>
    </w:p>
    <w:p w14:paraId="3332967E" w14:textId="77777777" w:rsidR="00356530" w:rsidRPr="00CE041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lang w:val="fr-FR"/>
        </w:rPr>
      </w:pPr>
      <w:r w:rsidRPr="00CE0417">
        <w:rPr>
          <w:rFonts w:ascii="Times New Roman" w:eastAsiaTheme="minorHAnsi" w:hAnsi="Times New Roman"/>
          <w:i/>
          <w:iCs/>
          <w:sz w:val="22"/>
          <w:szCs w:val="22"/>
          <w:lang w:val="fr-FR"/>
        </w:rPr>
        <w:t>R. v. Grant</w:t>
      </w:r>
      <w:r w:rsidRPr="00CE0417">
        <w:rPr>
          <w:rFonts w:ascii="Times New Roman" w:eastAsiaTheme="minorHAnsi" w:hAnsi="Times New Roman"/>
          <w:sz w:val="22"/>
          <w:szCs w:val="22"/>
          <w:lang w:val="fr-FR"/>
        </w:rPr>
        <w:t>, [2009] 2 S.C.R. 353</w:t>
      </w:r>
    </w:p>
    <w:p w14:paraId="36C42635"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Handy</w:t>
      </w:r>
      <w:r w:rsidRPr="00B42B27">
        <w:rPr>
          <w:rFonts w:ascii="Times New Roman" w:eastAsiaTheme="minorHAnsi" w:hAnsi="Times New Roman"/>
          <w:sz w:val="22"/>
          <w:szCs w:val="22"/>
        </w:rPr>
        <w:t>, [2002] 2 S.C.R. 908</w:t>
      </w:r>
    </w:p>
    <w:p w14:paraId="1DFA8F34"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J.J.</w:t>
      </w:r>
      <w:r w:rsidRPr="00B42B27">
        <w:rPr>
          <w:rFonts w:ascii="Times New Roman" w:eastAsiaTheme="minorHAnsi" w:hAnsi="Times New Roman"/>
          <w:sz w:val="22"/>
          <w:szCs w:val="22"/>
        </w:rPr>
        <w:t>, 2022 SCC 28</w:t>
      </w:r>
    </w:p>
    <w:p w14:paraId="30549076"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 xml:space="preserve">R. v. Jordan, </w:t>
      </w:r>
      <w:r w:rsidRPr="00B42B27">
        <w:rPr>
          <w:rFonts w:ascii="Times New Roman" w:eastAsiaTheme="minorHAnsi" w:hAnsi="Times New Roman"/>
          <w:sz w:val="22"/>
          <w:szCs w:val="22"/>
        </w:rPr>
        <w:t>[2016] 1 S.C.R. 908</w:t>
      </w:r>
    </w:p>
    <w:p w14:paraId="3736DF27"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Khan</w:t>
      </w:r>
      <w:r w:rsidRPr="00B42B27">
        <w:rPr>
          <w:rFonts w:ascii="Times New Roman" w:eastAsiaTheme="minorHAnsi" w:hAnsi="Times New Roman"/>
          <w:sz w:val="22"/>
          <w:szCs w:val="22"/>
        </w:rPr>
        <w:t>, [1990] 2 S.C.R. 531</w:t>
      </w:r>
    </w:p>
    <w:p w14:paraId="4F1B9E4E"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 xml:space="preserve">R. v. </w:t>
      </w:r>
      <w:proofErr w:type="spellStart"/>
      <w:r w:rsidRPr="00B42B27">
        <w:rPr>
          <w:rFonts w:ascii="Times New Roman" w:eastAsiaTheme="minorHAnsi" w:hAnsi="Times New Roman"/>
          <w:i/>
          <w:iCs/>
          <w:sz w:val="22"/>
          <w:szCs w:val="22"/>
        </w:rPr>
        <w:t>Khelawon</w:t>
      </w:r>
      <w:proofErr w:type="spellEnd"/>
      <w:r w:rsidRPr="00B42B27">
        <w:rPr>
          <w:rFonts w:ascii="Times New Roman" w:eastAsiaTheme="minorHAnsi" w:hAnsi="Times New Roman"/>
          <w:sz w:val="22"/>
          <w:szCs w:val="22"/>
        </w:rPr>
        <w:t>, [2006] 2 S.C.R. 787</w:t>
      </w:r>
    </w:p>
    <w:p w14:paraId="7194E695"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 xml:space="preserve">R. v. </w:t>
      </w:r>
      <w:proofErr w:type="spellStart"/>
      <w:r w:rsidRPr="00B42B27">
        <w:rPr>
          <w:rFonts w:ascii="Times New Roman" w:eastAsiaTheme="minorHAnsi" w:hAnsi="Times New Roman"/>
          <w:i/>
          <w:iCs/>
          <w:sz w:val="22"/>
          <w:szCs w:val="22"/>
          <w:lang w:val="fr-FR"/>
        </w:rPr>
        <w:t>Kienapple</w:t>
      </w:r>
      <w:proofErr w:type="spellEnd"/>
      <w:r w:rsidRPr="00B42B27">
        <w:rPr>
          <w:rFonts w:ascii="Times New Roman" w:eastAsiaTheme="minorHAnsi" w:hAnsi="Times New Roman"/>
          <w:sz w:val="22"/>
          <w:szCs w:val="22"/>
          <w:lang w:val="fr-FR"/>
        </w:rPr>
        <w:t>, [1975] 1 S.C.R 729</w:t>
      </w:r>
    </w:p>
    <w:p w14:paraId="785ED092"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R. v. Lacasse</w:t>
      </w:r>
      <w:r w:rsidRPr="00B42B27">
        <w:rPr>
          <w:rFonts w:ascii="Times New Roman" w:eastAsiaTheme="minorHAnsi" w:hAnsi="Times New Roman"/>
          <w:sz w:val="22"/>
          <w:szCs w:val="22"/>
          <w:lang w:val="fr-FR"/>
        </w:rPr>
        <w:t>, [2015] 3 S.C.R. 1089</w:t>
      </w:r>
    </w:p>
    <w:p w14:paraId="68746759"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R. v. M. (R.E.),</w:t>
      </w:r>
      <w:r w:rsidRPr="00B42B27">
        <w:rPr>
          <w:rFonts w:ascii="Times New Roman" w:eastAsiaTheme="minorHAnsi" w:hAnsi="Times New Roman"/>
          <w:sz w:val="22"/>
          <w:szCs w:val="22"/>
          <w:lang w:val="fr-FR"/>
        </w:rPr>
        <w:t xml:space="preserve"> [2008] 3 S.C.R. 3</w:t>
      </w:r>
    </w:p>
    <w:p w14:paraId="54ADBA57" w14:textId="77777777" w:rsidR="00356530" w:rsidRPr="00CE041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CE0417">
        <w:rPr>
          <w:rFonts w:ascii="Times New Roman" w:eastAsiaTheme="minorHAnsi" w:hAnsi="Times New Roman"/>
          <w:i/>
          <w:iCs/>
          <w:sz w:val="22"/>
          <w:szCs w:val="22"/>
        </w:rPr>
        <w:t>R. v. Oakes</w:t>
      </w:r>
      <w:r w:rsidRPr="00CE0417">
        <w:rPr>
          <w:rFonts w:ascii="Times New Roman" w:eastAsiaTheme="minorHAnsi" w:hAnsi="Times New Roman"/>
          <w:sz w:val="22"/>
          <w:szCs w:val="22"/>
        </w:rPr>
        <w:t>, [1986] 1 S.C.R 103</w:t>
      </w:r>
    </w:p>
    <w:p w14:paraId="27D282DC"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O'Connor</w:t>
      </w:r>
      <w:r w:rsidRPr="00B42B27">
        <w:rPr>
          <w:rFonts w:ascii="Times New Roman" w:eastAsiaTheme="minorHAnsi" w:hAnsi="Times New Roman"/>
          <w:sz w:val="22"/>
          <w:szCs w:val="22"/>
        </w:rPr>
        <w:t>, [1995] 4 S.C.R. 411</w:t>
      </w:r>
    </w:p>
    <w:p w14:paraId="51F2F0F0"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lang w:val="fr-FR"/>
        </w:rPr>
      </w:pPr>
      <w:r w:rsidRPr="002220E1">
        <w:rPr>
          <w:rFonts w:ascii="Times New Roman" w:eastAsiaTheme="minorHAnsi" w:hAnsi="Times New Roman"/>
          <w:i/>
          <w:iCs/>
          <w:sz w:val="22"/>
          <w:szCs w:val="22"/>
          <w:lang w:val="fr-FR"/>
        </w:rPr>
        <w:t>R</w:t>
      </w:r>
      <w:r w:rsidRPr="00B42B27">
        <w:rPr>
          <w:rFonts w:ascii="Times New Roman" w:eastAsiaTheme="minorHAnsi" w:hAnsi="Times New Roman"/>
          <w:sz w:val="22"/>
          <w:szCs w:val="22"/>
          <w:lang w:val="fr-FR"/>
        </w:rPr>
        <w:t xml:space="preserve">. v. </w:t>
      </w:r>
      <w:r w:rsidRPr="00CA1ABA">
        <w:rPr>
          <w:rFonts w:ascii="Times New Roman" w:eastAsiaTheme="minorHAnsi" w:hAnsi="Times New Roman"/>
          <w:i/>
          <w:iCs/>
          <w:sz w:val="22"/>
          <w:szCs w:val="22"/>
          <w:lang w:val="fr-FR"/>
        </w:rPr>
        <w:t>Proulx,</w:t>
      </w:r>
      <w:r w:rsidRPr="00B42B27">
        <w:rPr>
          <w:rFonts w:ascii="Times New Roman" w:eastAsiaTheme="minorHAnsi" w:hAnsi="Times New Roman"/>
          <w:sz w:val="22"/>
          <w:szCs w:val="22"/>
          <w:lang w:val="fr-FR"/>
        </w:rPr>
        <w:t xml:space="preserve"> [2000] 1 S.C.R. 61</w:t>
      </w:r>
    </w:p>
    <w:p w14:paraId="7011F7CF"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 xml:space="preserve">R. v. R.V., </w:t>
      </w:r>
      <w:r w:rsidRPr="00B42B27">
        <w:rPr>
          <w:rFonts w:ascii="Times New Roman" w:eastAsiaTheme="minorHAnsi" w:hAnsi="Times New Roman"/>
          <w:sz w:val="22"/>
          <w:szCs w:val="22"/>
        </w:rPr>
        <w:t>2019 SCC 41</w:t>
      </w:r>
    </w:p>
    <w:p w14:paraId="7C5CAB1E"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 xml:space="preserve">R. v. </w:t>
      </w:r>
      <w:proofErr w:type="spellStart"/>
      <w:r w:rsidRPr="00B42B27">
        <w:rPr>
          <w:rFonts w:ascii="Times New Roman" w:eastAsiaTheme="minorHAnsi" w:hAnsi="Times New Roman"/>
          <w:i/>
          <w:iCs/>
          <w:sz w:val="22"/>
          <w:szCs w:val="22"/>
        </w:rPr>
        <w:t>Seaboyer</w:t>
      </w:r>
      <w:proofErr w:type="spellEnd"/>
      <w:r w:rsidRPr="00B42B27">
        <w:rPr>
          <w:rFonts w:ascii="Times New Roman" w:eastAsiaTheme="minorHAnsi" w:hAnsi="Times New Roman"/>
          <w:sz w:val="22"/>
          <w:szCs w:val="22"/>
        </w:rPr>
        <w:t xml:space="preserve">; </w:t>
      </w:r>
      <w:r w:rsidRPr="00B42B27">
        <w:rPr>
          <w:rFonts w:ascii="Times New Roman" w:eastAsiaTheme="minorHAnsi" w:hAnsi="Times New Roman"/>
          <w:i/>
          <w:iCs/>
          <w:sz w:val="22"/>
          <w:szCs w:val="22"/>
        </w:rPr>
        <w:t xml:space="preserve">R. v. </w:t>
      </w:r>
      <w:proofErr w:type="spellStart"/>
      <w:r w:rsidRPr="00B42B27">
        <w:rPr>
          <w:rFonts w:ascii="Times New Roman" w:eastAsiaTheme="minorHAnsi" w:hAnsi="Times New Roman"/>
          <w:i/>
          <w:iCs/>
          <w:sz w:val="22"/>
          <w:szCs w:val="22"/>
        </w:rPr>
        <w:t>Gayme</w:t>
      </w:r>
      <w:proofErr w:type="spellEnd"/>
      <w:r w:rsidRPr="00B42B27">
        <w:rPr>
          <w:rFonts w:ascii="Times New Roman" w:eastAsiaTheme="minorHAnsi" w:hAnsi="Times New Roman"/>
          <w:i/>
          <w:iCs/>
          <w:sz w:val="22"/>
          <w:szCs w:val="22"/>
        </w:rPr>
        <w:t xml:space="preserve">, </w:t>
      </w:r>
      <w:r w:rsidRPr="00B42B27">
        <w:rPr>
          <w:rFonts w:ascii="Times New Roman" w:eastAsiaTheme="minorHAnsi" w:hAnsi="Times New Roman"/>
          <w:sz w:val="22"/>
          <w:szCs w:val="22"/>
        </w:rPr>
        <w:t>[1991] 2 S.C.R. 577</w:t>
      </w:r>
    </w:p>
    <w:p w14:paraId="0A1DA5E6"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Sheppard</w:t>
      </w:r>
      <w:r w:rsidRPr="00B42B27">
        <w:rPr>
          <w:rFonts w:ascii="Times New Roman" w:eastAsiaTheme="minorHAnsi" w:hAnsi="Times New Roman"/>
          <w:sz w:val="22"/>
          <w:szCs w:val="22"/>
        </w:rPr>
        <w:t>, [2002] 1 S.C.R. 869</w:t>
      </w:r>
    </w:p>
    <w:p w14:paraId="2E720FBE"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Stinchcombe</w:t>
      </w:r>
      <w:r w:rsidRPr="00B42B27">
        <w:rPr>
          <w:rFonts w:ascii="Times New Roman" w:eastAsiaTheme="minorHAnsi" w:hAnsi="Times New Roman"/>
          <w:sz w:val="22"/>
          <w:szCs w:val="22"/>
        </w:rPr>
        <w:t>, [1991] 3 S.C.R. 326</w:t>
      </w:r>
    </w:p>
    <w:p w14:paraId="68D2C5C9"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Villaroman</w:t>
      </w:r>
      <w:r w:rsidRPr="00B42B27">
        <w:rPr>
          <w:rFonts w:ascii="Times New Roman" w:eastAsiaTheme="minorHAnsi" w:hAnsi="Times New Roman"/>
          <w:sz w:val="22"/>
          <w:szCs w:val="22"/>
        </w:rPr>
        <w:t>, [2016] 1 S.C.R. 1000</w:t>
      </w:r>
    </w:p>
    <w:p w14:paraId="78FAA115"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W.D.,</w:t>
      </w:r>
      <w:r w:rsidRPr="00B42B27">
        <w:rPr>
          <w:rFonts w:ascii="Times New Roman" w:eastAsiaTheme="minorHAnsi" w:hAnsi="Times New Roman"/>
          <w:sz w:val="22"/>
          <w:szCs w:val="22"/>
        </w:rPr>
        <w:t xml:space="preserve"> [1991] 1 S.C.R. 742</w:t>
      </w:r>
    </w:p>
    <w:p w14:paraId="4202A681"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W.R.,</w:t>
      </w:r>
      <w:r w:rsidRPr="00B42B27">
        <w:rPr>
          <w:rFonts w:ascii="Times New Roman" w:eastAsiaTheme="minorHAnsi" w:hAnsi="Times New Roman"/>
          <w:sz w:val="22"/>
          <w:szCs w:val="22"/>
        </w:rPr>
        <w:t xml:space="preserve"> [1992] 2 S.C.R. 122</w:t>
      </w:r>
    </w:p>
    <w:p w14:paraId="7ABA70B6" w14:textId="77777777" w:rsidR="00356530" w:rsidRPr="00CE041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lang w:val="fr-FR"/>
        </w:rPr>
      </w:pPr>
      <w:r w:rsidRPr="00CE0417">
        <w:rPr>
          <w:rFonts w:ascii="Times New Roman" w:eastAsiaTheme="minorHAnsi" w:hAnsi="Times New Roman"/>
          <w:i/>
          <w:iCs/>
          <w:sz w:val="22"/>
          <w:szCs w:val="22"/>
          <w:lang w:val="fr-FR"/>
        </w:rPr>
        <w:t xml:space="preserve">R. v. </w:t>
      </w:r>
      <w:proofErr w:type="spellStart"/>
      <w:r w:rsidRPr="00CE0417">
        <w:rPr>
          <w:rFonts w:ascii="Times New Roman" w:eastAsiaTheme="minorHAnsi" w:hAnsi="Times New Roman"/>
          <w:i/>
          <w:iCs/>
          <w:sz w:val="22"/>
          <w:szCs w:val="22"/>
          <w:lang w:val="fr-FR"/>
        </w:rPr>
        <w:t>Yebes</w:t>
      </w:r>
      <w:proofErr w:type="spellEnd"/>
      <w:r w:rsidRPr="00CE0417">
        <w:rPr>
          <w:rFonts w:ascii="Times New Roman" w:eastAsiaTheme="minorHAnsi" w:hAnsi="Times New Roman"/>
          <w:sz w:val="22"/>
          <w:szCs w:val="22"/>
          <w:lang w:val="fr-FR"/>
        </w:rPr>
        <w:t>, [1987] 2 S.C.R. 168</w:t>
      </w:r>
    </w:p>
    <w:p w14:paraId="5D82EBC1" w14:textId="77777777" w:rsidR="00356530" w:rsidRPr="00B42B27" w:rsidRDefault="00356530" w:rsidP="00356530">
      <w:pPr>
        <w:pStyle w:val="ListParagraph"/>
        <w:widowControl/>
        <w:numPr>
          <w:ilvl w:val="0"/>
          <w:numId w:val="8"/>
        </w:numPr>
        <w:autoSpaceDE/>
        <w:autoSpaceDN/>
        <w:adjustRightInd/>
        <w:spacing w:line="276" w:lineRule="auto"/>
        <w:rPr>
          <w:rFonts w:ascii="Times New Roman" w:eastAsiaTheme="minorHAnsi" w:hAnsi="Times New Roman"/>
          <w:sz w:val="22"/>
          <w:szCs w:val="22"/>
        </w:rPr>
      </w:pPr>
      <w:proofErr w:type="spellStart"/>
      <w:r w:rsidRPr="00B42B27">
        <w:rPr>
          <w:rFonts w:ascii="Times New Roman" w:eastAsiaTheme="minorHAnsi" w:hAnsi="Times New Roman"/>
          <w:i/>
          <w:iCs/>
          <w:sz w:val="22"/>
          <w:szCs w:val="22"/>
        </w:rPr>
        <w:t>Vetrovec</w:t>
      </w:r>
      <w:proofErr w:type="spellEnd"/>
      <w:r w:rsidRPr="00B42B27">
        <w:rPr>
          <w:rFonts w:ascii="Times New Roman" w:eastAsiaTheme="minorHAnsi" w:hAnsi="Times New Roman"/>
          <w:i/>
          <w:iCs/>
          <w:sz w:val="22"/>
          <w:szCs w:val="22"/>
        </w:rPr>
        <w:t xml:space="preserve"> v. The Queen</w:t>
      </w:r>
      <w:r w:rsidRPr="00B42B27">
        <w:rPr>
          <w:rFonts w:ascii="Times New Roman" w:eastAsiaTheme="minorHAnsi" w:hAnsi="Times New Roman"/>
          <w:sz w:val="22"/>
          <w:szCs w:val="22"/>
        </w:rPr>
        <w:t>, [1982] 1 S.C.R. 811</w:t>
      </w:r>
    </w:p>
    <w:p w14:paraId="029B2BDA" w14:textId="77777777" w:rsidR="00356530" w:rsidRDefault="00356530" w:rsidP="00356530"/>
    <w:p w14:paraId="15EDEA6B" w14:textId="77777777" w:rsidR="00356530" w:rsidRDefault="00356530" w:rsidP="00356530">
      <w:pPr>
        <w:widowControl/>
        <w:autoSpaceDE/>
        <w:autoSpaceDN/>
        <w:adjustRightInd/>
        <w:spacing w:after="200" w:line="276" w:lineRule="auto"/>
        <w:jc w:val="center"/>
        <w:rPr>
          <w:rFonts w:ascii="Times New Roman" w:hAnsi="Times New Roman"/>
          <w:color w:val="000000"/>
          <w:sz w:val="22"/>
          <w:szCs w:val="22"/>
          <w:u w:val="single"/>
        </w:rPr>
        <w:sectPr w:rsidR="00356530" w:rsidSect="00356530">
          <w:footerReference w:type="default" r:id="rId10"/>
          <w:type w:val="continuous"/>
          <w:pgSz w:w="12240" w:h="15840"/>
          <w:pgMar w:top="1440" w:right="1440" w:bottom="1440" w:left="1440" w:header="720" w:footer="720" w:gutter="0"/>
          <w:pgNumType w:start="29"/>
          <w:cols w:space="720"/>
          <w:docGrid w:linePitch="360"/>
        </w:sectPr>
      </w:pPr>
    </w:p>
    <w:p w14:paraId="6346C265" w14:textId="77777777" w:rsidR="00356530" w:rsidRDefault="00356530" w:rsidP="00356530">
      <w:pPr>
        <w:widowControl/>
        <w:autoSpaceDE/>
        <w:autoSpaceDN/>
        <w:adjustRightInd/>
        <w:spacing w:after="200" w:line="276" w:lineRule="auto"/>
        <w:jc w:val="center"/>
        <w:rPr>
          <w:rFonts w:ascii="Times New Roman" w:hAnsi="Times New Roman"/>
          <w:color w:val="000000"/>
          <w:sz w:val="22"/>
          <w:szCs w:val="22"/>
          <w:u w:val="single"/>
        </w:rPr>
        <w:sectPr w:rsidR="00356530" w:rsidSect="00356530">
          <w:footerReference w:type="default" r:id="rId11"/>
          <w:type w:val="continuous"/>
          <w:pgSz w:w="12240" w:h="15840"/>
          <w:pgMar w:top="1440" w:right="1440" w:bottom="1440" w:left="1440" w:header="720" w:footer="720" w:gutter="0"/>
          <w:pgNumType w:start="29"/>
          <w:cols w:space="720"/>
          <w:docGrid w:linePitch="360"/>
        </w:sectPr>
      </w:pPr>
    </w:p>
    <w:p w14:paraId="2C9C7E06" w14:textId="77777777" w:rsidR="00356530" w:rsidRDefault="00356530" w:rsidP="00356530">
      <w:pPr>
        <w:widowControl/>
        <w:autoSpaceDE/>
        <w:autoSpaceDN/>
        <w:adjustRightInd/>
        <w:spacing w:after="200" w:line="276" w:lineRule="auto"/>
        <w:rPr>
          <w:rFonts w:ascii="Times New Roman" w:hAnsi="Times New Roman"/>
          <w:color w:val="000000"/>
          <w:sz w:val="22"/>
          <w:szCs w:val="22"/>
          <w:u w:val="single"/>
        </w:rPr>
      </w:pPr>
      <w:r>
        <w:rPr>
          <w:rFonts w:ascii="Times New Roman" w:hAnsi="Times New Roman"/>
          <w:color w:val="000000"/>
          <w:sz w:val="22"/>
          <w:szCs w:val="22"/>
          <w:u w:val="single"/>
        </w:rPr>
        <w:br w:type="page"/>
      </w:r>
    </w:p>
    <w:p w14:paraId="0A9B8426" w14:textId="77777777" w:rsidR="00356530" w:rsidRDefault="00356530" w:rsidP="00356530">
      <w:pPr>
        <w:spacing w:line="276" w:lineRule="auto"/>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lastRenderedPageBreak/>
        <w:t xml:space="preserve">SCHEDULE </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D</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 xml:space="preserve"> TO COMMON LIST OF AUTHORITIES PRACTICE DIRECTION: </w:t>
      </w:r>
    </w:p>
    <w:p w14:paraId="0B2962BA" w14:textId="77777777" w:rsidR="00356530" w:rsidRPr="006D0A8D" w:rsidRDefault="00356530" w:rsidP="00356530">
      <w:pPr>
        <w:spacing w:line="276" w:lineRule="auto"/>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t>FAMILY LAW</w:t>
      </w:r>
    </w:p>
    <w:p w14:paraId="4DBD2088" w14:textId="77777777" w:rsidR="00356530" w:rsidRPr="00886BC7" w:rsidRDefault="00356530" w:rsidP="00356530">
      <w:pPr>
        <w:spacing w:line="276" w:lineRule="auto"/>
        <w:rPr>
          <w:rFonts w:ascii="Times New Roman" w:hAnsi="Times New Roman"/>
          <w:sz w:val="22"/>
          <w:szCs w:val="22"/>
          <w:u w:val="single"/>
        </w:rPr>
      </w:pPr>
    </w:p>
    <w:p w14:paraId="6B95ECA0" w14:textId="77777777" w:rsidR="00356530" w:rsidRPr="00886BC7" w:rsidRDefault="00356530" w:rsidP="00356530">
      <w:pPr>
        <w:pStyle w:val="ListParagraph"/>
        <w:widowControl/>
        <w:numPr>
          <w:ilvl w:val="0"/>
          <w:numId w:val="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Parenting</w:t>
      </w:r>
    </w:p>
    <w:p w14:paraId="71A3B38D" w14:textId="77777777" w:rsidR="00356530" w:rsidRPr="00886BC7" w:rsidRDefault="00356530" w:rsidP="00356530">
      <w:pPr>
        <w:pStyle w:val="ListParagraph"/>
        <w:widowControl/>
        <w:numPr>
          <w:ilvl w:val="0"/>
          <w:numId w:val="10"/>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AR v. DR</w:t>
      </w:r>
      <w:r w:rsidRPr="00886BC7">
        <w:rPr>
          <w:rFonts w:ascii="Times New Roman" w:hAnsi="Times New Roman"/>
          <w:sz w:val="22"/>
          <w:szCs w:val="22"/>
        </w:rPr>
        <w:t xml:space="preserve">, 2018 PESC 37 </w:t>
      </w:r>
    </w:p>
    <w:p w14:paraId="302C2B20" w14:textId="77777777" w:rsidR="00356530" w:rsidRPr="00886BC7" w:rsidRDefault="00356530" w:rsidP="00356530">
      <w:pPr>
        <w:pStyle w:val="ListParagraph"/>
        <w:widowControl/>
        <w:numPr>
          <w:ilvl w:val="0"/>
          <w:numId w:val="10"/>
        </w:numPr>
        <w:autoSpaceDE/>
        <w:autoSpaceDN/>
        <w:adjustRightInd/>
        <w:spacing w:after="160" w:line="276" w:lineRule="auto"/>
        <w:rPr>
          <w:rFonts w:ascii="Times New Roman" w:hAnsi="Times New Roman"/>
          <w:sz w:val="22"/>
          <w:szCs w:val="22"/>
          <w:lang w:val="fr-FR"/>
        </w:rPr>
      </w:pPr>
      <w:proofErr w:type="spellStart"/>
      <w:r w:rsidRPr="00886BC7">
        <w:rPr>
          <w:rFonts w:ascii="Times New Roman" w:hAnsi="Times New Roman"/>
          <w:i/>
          <w:iCs/>
          <w:sz w:val="22"/>
          <w:szCs w:val="22"/>
          <w:lang w:val="fr-FR"/>
        </w:rPr>
        <w:t>Barendregt</w:t>
      </w:r>
      <w:proofErr w:type="spellEnd"/>
      <w:r w:rsidRPr="00886BC7">
        <w:rPr>
          <w:rFonts w:ascii="Times New Roman" w:hAnsi="Times New Roman"/>
          <w:i/>
          <w:iCs/>
          <w:sz w:val="22"/>
          <w:szCs w:val="22"/>
          <w:lang w:val="fr-FR"/>
        </w:rPr>
        <w:t xml:space="preserve"> v. </w:t>
      </w:r>
      <w:proofErr w:type="spellStart"/>
      <w:r w:rsidRPr="00886BC7">
        <w:rPr>
          <w:rFonts w:ascii="Times New Roman" w:hAnsi="Times New Roman"/>
          <w:i/>
          <w:iCs/>
          <w:sz w:val="22"/>
          <w:szCs w:val="22"/>
          <w:lang w:val="fr-FR"/>
        </w:rPr>
        <w:t>Grebliunas</w:t>
      </w:r>
      <w:proofErr w:type="spellEnd"/>
      <w:r w:rsidRPr="00886BC7">
        <w:rPr>
          <w:rFonts w:ascii="Times New Roman" w:hAnsi="Times New Roman"/>
          <w:sz w:val="22"/>
          <w:szCs w:val="22"/>
          <w:lang w:val="fr-FR"/>
        </w:rPr>
        <w:t>, 2022 SCC 22</w:t>
      </w:r>
    </w:p>
    <w:p w14:paraId="297F2AB1" w14:textId="77777777" w:rsidR="00356530" w:rsidRPr="00886BC7" w:rsidRDefault="00356530" w:rsidP="00356530">
      <w:pPr>
        <w:pStyle w:val="ListParagraph"/>
        <w:widowControl/>
        <w:numPr>
          <w:ilvl w:val="0"/>
          <w:numId w:val="10"/>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Chartier v. Chartier</w:t>
      </w:r>
      <w:r w:rsidRPr="00886BC7">
        <w:rPr>
          <w:rFonts w:ascii="Times New Roman" w:hAnsi="Times New Roman"/>
          <w:sz w:val="22"/>
          <w:szCs w:val="22"/>
        </w:rPr>
        <w:t xml:space="preserve">, 1999 1 S.C.R 242 </w:t>
      </w:r>
    </w:p>
    <w:p w14:paraId="0E958765" w14:textId="77777777" w:rsidR="00356530" w:rsidRPr="00886BC7" w:rsidRDefault="00356530" w:rsidP="00356530">
      <w:pPr>
        <w:pStyle w:val="ListParagraph"/>
        <w:spacing w:line="276" w:lineRule="auto"/>
        <w:ind w:left="1080"/>
        <w:rPr>
          <w:rFonts w:ascii="Times New Roman" w:hAnsi="Times New Roman"/>
          <w:sz w:val="22"/>
          <w:szCs w:val="22"/>
        </w:rPr>
      </w:pPr>
    </w:p>
    <w:p w14:paraId="1977DEEC" w14:textId="77777777" w:rsidR="00356530" w:rsidRPr="00886BC7" w:rsidRDefault="00356530" w:rsidP="00356530">
      <w:pPr>
        <w:pStyle w:val="ListParagraph"/>
        <w:widowControl/>
        <w:numPr>
          <w:ilvl w:val="0"/>
          <w:numId w:val="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Child support</w:t>
      </w:r>
    </w:p>
    <w:p w14:paraId="26AFC42D" w14:textId="77777777" w:rsidR="00356530" w:rsidRPr="00886BC7" w:rsidRDefault="00356530" w:rsidP="00356530">
      <w:pPr>
        <w:pStyle w:val="ListParagraph"/>
        <w:widowControl/>
        <w:numPr>
          <w:ilvl w:val="0"/>
          <w:numId w:val="11"/>
        </w:numPr>
        <w:autoSpaceDE/>
        <w:autoSpaceDN/>
        <w:adjustRightInd/>
        <w:spacing w:after="160" w:line="276" w:lineRule="auto"/>
        <w:rPr>
          <w:rFonts w:ascii="Times New Roman" w:hAnsi="Times New Roman"/>
          <w:sz w:val="22"/>
          <w:szCs w:val="22"/>
        </w:rPr>
      </w:pPr>
      <w:bookmarkStart w:id="1" w:name="_Hlk170129521"/>
      <w:r w:rsidRPr="00886BC7">
        <w:rPr>
          <w:rFonts w:ascii="Times New Roman" w:hAnsi="Times New Roman"/>
          <w:i/>
          <w:iCs/>
          <w:color w:val="000000"/>
          <w:sz w:val="22"/>
          <w:szCs w:val="22"/>
        </w:rPr>
        <w:t>C.A.M. v. J.C.</w:t>
      </w:r>
      <w:r w:rsidRPr="00886BC7">
        <w:rPr>
          <w:rFonts w:ascii="Times New Roman" w:hAnsi="Times New Roman"/>
          <w:color w:val="000000"/>
          <w:sz w:val="22"/>
          <w:szCs w:val="22"/>
        </w:rPr>
        <w:t>, 2021 PESC 41</w:t>
      </w:r>
    </w:p>
    <w:bookmarkEnd w:id="1"/>
    <w:p w14:paraId="4005ADEA" w14:textId="77777777" w:rsidR="00356530" w:rsidRPr="00886BC7" w:rsidRDefault="00356530" w:rsidP="00356530">
      <w:pPr>
        <w:pStyle w:val="ListParagraph"/>
        <w:widowControl/>
        <w:numPr>
          <w:ilvl w:val="0"/>
          <w:numId w:val="11"/>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Colucci v. Colucci</w:t>
      </w:r>
      <w:r w:rsidRPr="00886BC7">
        <w:rPr>
          <w:rFonts w:ascii="Times New Roman" w:hAnsi="Times New Roman"/>
          <w:sz w:val="22"/>
          <w:szCs w:val="22"/>
        </w:rPr>
        <w:t xml:space="preserve">, 2021 SCC 24 </w:t>
      </w:r>
    </w:p>
    <w:p w14:paraId="34EDD35C" w14:textId="77777777" w:rsidR="00356530" w:rsidRPr="00886BC7" w:rsidRDefault="00356530" w:rsidP="00356530">
      <w:pPr>
        <w:pStyle w:val="ListParagraph"/>
        <w:widowControl/>
        <w:numPr>
          <w:ilvl w:val="0"/>
          <w:numId w:val="11"/>
        </w:numPr>
        <w:autoSpaceDE/>
        <w:autoSpaceDN/>
        <w:adjustRightInd/>
        <w:spacing w:after="160" w:line="276" w:lineRule="auto"/>
        <w:rPr>
          <w:rFonts w:ascii="Times New Roman" w:hAnsi="Times New Roman"/>
          <w:sz w:val="22"/>
          <w:szCs w:val="22"/>
          <w:lang w:val="fr-FR"/>
        </w:rPr>
      </w:pPr>
      <w:proofErr w:type="spellStart"/>
      <w:r w:rsidRPr="00886BC7">
        <w:rPr>
          <w:rFonts w:ascii="Times New Roman" w:hAnsi="Times New Roman"/>
          <w:i/>
          <w:iCs/>
          <w:sz w:val="22"/>
          <w:szCs w:val="22"/>
          <w:lang w:val="fr-FR"/>
        </w:rPr>
        <w:t>Contino</w:t>
      </w:r>
      <w:proofErr w:type="spellEnd"/>
      <w:r w:rsidRPr="00886BC7">
        <w:rPr>
          <w:rFonts w:ascii="Times New Roman" w:hAnsi="Times New Roman"/>
          <w:i/>
          <w:iCs/>
          <w:sz w:val="22"/>
          <w:szCs w:val="22"/>
          <w:lang w:val="fr-FR"/>
        </w:rPr>
        <w:t xml:space="preserve"> v. </w:t>
      </w:r>
      <w:proofErr w:type="spellStart"/>
      <w:r w:rsidRPr="00886BC7">
        <w:rPr>
          <w:rFonts w:ascii="Times New Roman" w:hAnsi="Times New Roman"/>
          <w:i/>
          <w:iCs/>
          <w:sz w:val="22"/>
          <w:szCs w:val="22"/>
          <w:lang w:val="fr-FR"/>
        </w:rPr>
        <w:t>Leonelli-Contino</w:t>
      </w:r>
      <w:proofErr w:type="spellEnd"/>
      <w:r w:rsidRPr="00886BC7">
        <w:rPr>
          <w:rFonts w:ascii="Times New Roman" w:hAnsi="Times New Roman"/>
          <w:sz w:val="22"/>
          <w:szCs w:val="22"/>
          <w:lang w:val="fr-FR"/>
        </w:rPr>
        <w:t>, 2005 SCC 63</w:t>
      </w:r>
    </w:p>
    <w:p w14:paraId="22D232BC" w14:textId="77777777" w:rsidR="00356530" w:rsidRPr="00886BC7" w:rsidRDefault="00356530" w:rsidP="00356530">
      <w:pPr>
        <w:pStyle w:val="ListParagraph"/>
        <w:widowControl/>
        <w:numPr>
          <w:ilvl w:val="0"/>
          <w:numId w:val="11"/>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DBS v. SRG</w:t>
      </w:r>
      <w:r w:rsidRPr="00886BC7">
        <w:rPr>
          <w:rFonts w:ascii="Times New Roman" w:hAnsi="Times New Roman"/>
          <w:sz w:val="22"/>
          <w:szCs w:val="22"/>
        </w:rPr>
        <w:t xml:space="preserve">, 2006 SCC 37 </w:t>
      </w:r>
    </w:p>
    <w:p w14:paraId="74F1269E" w14:textId="77777777" w:rsidR="00356530" w:rsidRPr="00886BC7" w:rsidRDefault="00356530" w:rsidP="00356530">
      <w:pPr>
        <w:pStyle w:val="ListParagraph"/>
        <w:widowControl/>
        <w:numPr>
          <w:ilvl w:val="0"/>
          <w:numId w:val="11"/>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JDM v. KDM</w:t>
      </w:r>
      <w:r w:rsidRPr="00886BC7">
        <w:rPr>
          <w:rFonts w:ascii="Times New Roman" w:hAnsi="Times New Roman"/>
          <w:sz w:val="22"/>
          <w:szCs w:val="22"/>
        </w:rPr>
        <w:t xml:space="preserve">, 2015 PECA 16 </w:t>
      </w:r>
    </w:p>
    <w:p w14:paraId="626370CF" w14:textId="77777777" w:rsidR="00356530" w:rsidRPr="00886BC7" w:rsidRDefault="00356530" w:rsidP="00356530">
      <w:pPr>
        <w:pStyle w:val="ListParagraph"/>
        <w:widowControl/>
        <w:numPr>
          <w:ilvl w:val="0"/>
          <w:numId w:val="11"/>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Michel v. Graydon</w:t>
      </w:r>
      <w:r w:rsidRPr="00886BC7">
        <w:rPr>
          <w:rFonts w:ascii="Times New Roman" w:hAnsi="Times New Roman"/>
          <w:sz w:val="22"/>
          <w:szCs w:val="22"/>
        </w:rPr>
        <w:t xml:space="preserve">, 2020 SCC 24 </w:t>
      </w:r>
    </w:p>
    <w:p w14:paraId="1BEBA751" w14:textId="77777777" w:rsidR="00356530" w:rsidRPr="00886BC7" w:rsidRDefault="00356530" w:rsidP="00356530">
      <w:pPr>
        <w:pStyle w:val="ListParagraph"/>
        <w:widowControl/>
        <w:numPr>
          <w:ilvl w:val="0"/>
          <w:numId w:val="11"/>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Miller v. White</w:t>
      </w:r>
      <w:r w:rsidRPr="00886BC7">
        <w:rPr>
          <w:rFonts w:ascii="Times New Roman" w:hAnsi="Times New Roman"/>
          <w:sz w:val="22"/>
          <w:szCs w:val="22"/>
        </w:rPr>
        <w:t xml:space="preserve">, 2022 PESC 4 </w:t>
      </w:r>
    </w:p>
    <w:p w14:paraId="3A7E9A67" w14:textId="77777777" w:rsidR="00356530" w:rsidRPr="00886BC7" w:rsidRDefault="00356530" w:rsidP="00356530">
      <w:pPr>
        <w:pStyle w:val="ListParagraph"/>
        <w:spacing w:line="276" w:lineRule="auto"/>
        <w:ind w:left="1080"/>
        <w:rPr>
          <w:rFonts w:ascii="Times New Roman" w:hAnsi="Times New Roman"/>
          <w:sz w:val="22"/>
          <w:szCs w:val="22"/>
        </w:rPr>
      </w:pPr>
    </w:p>
    <w:p w14:paraId="25F6424D" w14:textId="77777777" w:rsidR="00356530" w:rsidRPr="00886BC7" w:rsidRDefault="00356530" w:rsidP="00356530">
      <w:pPr>
        <w:pStyle w:val="ListParagraph"/>
        <w:widowControl/>
        <w:numPr>
          <w:ilvl w:val="0"/>
          <w:numId w:val="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Spousal Support</w:t>
      </w:r>
    </w:p>
    <w:p w14:paraId="735A587D" w14:textId="77777777" w:rsidR="00356530" w:rsidRPr="00886BC7" w:rsidRDefault="00356530" w:rsidP="00356530">
      <w:pPr>
        <w:pStyle w:val="ListParagraph"/>
        <w:widowControl/>
        <w:numPr>
          <w:ilvl w:val="0"/>
          <w:numId w:val="12"/>
        </w:numPr>
        <w:autoSpaceDE/>
        <w:autoSpaceDN/>
        <w:adjustRightInd/>
        <w:spacing w:after="160" w:line="276" w:lineRule="auto"/>
        <w:rPr>
          <w:rFonts w:ascii="Times New Roman" w:hAnsi="Times New Roman"/>
          <w:sz w:val="22"/>
          <w:szCs w:val="22"/>
        </w:rPr>
      </w:pPr>
      <w:proofErr w:type="spellStart"/>
      <w:r w:rsidRPr="00886BC7">
        <w:rPr>
          <w:rFonts w:ascii="Times New Roman" w:hAnsi="Times New Roman"/>
          <w:i/>
          <w:iCs/>
          <w:sz w:val="22"/>
          <w:szCs w:val="22"/>
        </w:rPr>
        <w:t>Bracklow</w:t>
      </w:r>
      <w:proofErr w:type="spellEnd"/>
      <w:r w:rsidRPr="00886BC7">
        <w:rPr>
          <w:rFonts w:ascii="Times New Roman" w:hAnsi="Times New Roman"/>
          <w:i/>
          <w:iCs/>
          <w:sz w:val="22"/>
          <w:szCs w:val="22"/>
        </w:rPr>
        <w:t xml:space="preserve"> v. </w:t>
      </w:r>
      <w:proofErr w:type="spellStart"/>
      <w:r w:rsidRPr="00886BC7">
        <w:rPr>
          <w:rFonts w:ascii="Times New Roman" w:hAnsi="Times New Roman"/>
          <w:i/>
          <w:iCs/>
          <w:sz w:val="22"/>
          <w:szCs w:val="22"/>
        </w:rPr>
        <w:t>Bracklow</w:t>
      </w:r>
      <w:proofErr w:type="spellEnd"/>
      <w:r w:rsidRPr="00886BC7">
        <w:rPr>
          <w:rFonts w:ascii="Times New Roman" w:hAnsi="Times New Roman"/>
          <w:sz w:val="22"/>
          <w:szCs w:val="22"/>
        </w:rPr>
        <w:t>, [1999] 1 S.C.R. 420</w:t>
      </w:r>
    </w:p>
    <w:p w14:paraId="6C01AF6A" w14:textId="77777777" w:rsidR="00356530" w:rsidRPr="00886BC7" w:rsidRDefault="00356530" w:rsidP="00356530">
      <w:pPr>
        <w:pStyle w:val="ListParagraph"/>
        <w:widowControl/>
        <w:numPr>
          <w:ilvl w:val="0"/>
          <w:numId w:val="12"/>
        </w:numPr>
        <w:autoSpaceDE/>
        <w:autoSpaceDN/>
        <w:adjustRightInd/>
        <w:spacing w:after="160" w:line="276" w:lineRule="auto"/>
        <w:rPr>
          <w:rFonts w:ascii="Times New Roman" w:hAnsi="Times New Roman"/>
          <w:color w:val="000000" w:themeColor="text1"/>
          <w:sz w:val="22"/>
          <w:szCs w:val="22"/>
        </w:rPr>
      </w:pPr>
      <w:r w:rsidRPr="00886BC7">
        <w:rPr>
          <w:rFonts w:ascii="Times New Roman" w:hAnsi="Times New Roman"/>
          <w:i/>
          <w:iCs/>
          <w:color w:val="000000" w:themeColor="text1"/>
          <w:sz w:val="22"/>
          <w:szCs w:val="22"/>
        </w:rPr>
        <w:t>CED v. CJD</w:t>
      </w:r>
      <w:r w:rsidRPr="00886BC7">
        <w:rPr>
          <w:rFonts w:ascii="Times New Roman" w:hAnsi="Times New Roman"/>
          <w:color w:val="000000" w:themeColor="text1"/>
          <w:sz w:val="22"/>
          <w:szCs w:val="22"/>
        </w:rPr>
        <w:t xml:space="preserve">, 2021 PECA 2 </w:t>
      </w:r>
    </w:p>
    <w:p w14:paraId="17B36707" w14:textId="77777777" w:rsidR="00356530" w:rsidRPr="00886BC7" w:rsidRDefault="00356530" w:rsidP="00356530">
      <w:pPr>
        <w:pStyle w:val="ListParagraph"/>
        <w:widowControl/>
        <w:numPr>
          <w:ilvl w:val="0"/>
          <w:numId w:val="12"/>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F. (L.C.) v. B. (W.P.),</w:t>
      </w:r>
      <w:r w:rsidRPr="00886BC7">
        <w:rPr>
          <w:rFonts w:ascii="Times New Roman" w:hAnsi="Times New Roman"/>
          <w:sz w:val="22"/>
          <w:szCs w:val="22"/>
        </w:rPr>
        <w:t xml:space="preserve"> 2023 PECA 9 </w:t>
      </w:r>
    </w:p>
    <w:p w14:paraId="58843236" w14:textId="77777777" w:rsidR="00356530" w:rsidRPr="00886BC7" w:rsidRDefault="00356530" w:rsidP="00356530">
      <w:pPr>
        <w:pStyle w:val="ListParagraph"/>
        <w:widowControl/>
        <w:numPr>
          <w:ilvl w:val="0"/>
          <w:numId w:val="12"/>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Miller v. White</w:t>
      </w:r>
      <w:r w:rsidRPr="00886BC7">
        <w:rPr>
          <w:rFonts w:ascii="Times New Roman" w:hAnsi="Times New Roman"/>
          <w:sz w:val="22"/>
          <w:szCs w:val="22"/>
        </w:rPr>
        <w:t>, 2022 PESC 4</w:t>
      </w:r>
    </w:p>
    <w:p w14:paraId="62872412" w14:textId="77777777" w:rsidR="00356530" w:rsidRPr="00886BC7" w:rsidRDefault="00356530" w:rsidP="00356530">
      <w:pPr>
        <w:pStyle w:val="ListParagraph"/>
        <w:widowControl/>
        <w:numPr>
          <w:ilvl w:val="0"/>
          <w:numId w:val="12"/>
        </w:numPr>
        <w:autoSpaceDE/>
        <w:autoSpaceDN/>
        <w:adjustRightInd/>
        <w:spacing w:after="160" w:line="276" w:lineRule="auto"/>
        <w:rPr>
          <w:rFonts w:ascii="Times New Roman" w:hAnsi="Times New Roman"/>
          <w:sz w:val="22"/>
          <w:szCs w:val="22"/>
          <w:lang w:val="fr-FR"/>
        </w:rPr>
      </w:pPr>
      <w:proofErr w:type="spellStart"/>
      <w:r w:rsidRPr="00886BC7">
        <w:rPr>
          <w:rFonts w:ascii="Times New Roman" w:hAnsi="Times New Roman"/>
          <w:i/>
          <w:iCs/>
          <w:sz w:val="22"/>
          <w:szCs w:val="22"/>
          <w:lang w:val="fr-FR"/>
        </w:rPr>
        <w:t>Moge</w:t>
      </w:r>
      <w:proofErr w:type="spellEnd"/>
      <w:r w:rsidRPr="00886BC7">
        <w:rPr>
          <w:rFonts w:ascii="Times New Roman" w:hAnsi="Times New Roman"/>
          <w:i/>
          <w:iCs/>
          <w:sz w:val="22"/>
          <w:szCs w:val="22"/>
          <w:lang w:val="fr-FR"/>
        </w:rPr>
        <w:t xml:space="preserve"> v. </w:t>
      </w:r>
      <w:proofErr w:type="spellStart"/>
      <w:r w:rsidRPr="00886BC7">
        <w:rPr>
          <w:rFonts w:ascii="Times New Roman" w:hAnsi="Times New Roman"/>
          <w:i/>
          <w:iCs/>
          <w:sz w:val="22"/>
          <w:szCs w:val="22"/>
          <w:lang w:val="fr-FR"/>
        </w:rPr>
        <w:t>Moge</w:t>
      </w:r>
      <w:proofErr w:type="spellEnd"/>
      <w:r w:rsidRPr="00886BC7">
        <w:rPr>
          <w:rFonts w:ascii="Times New Roman" w:hAnsi="Times New Roman"/>
          <w:sz w:val="22"/>
          <w:szCs w:val="22"/>
          <w:lang w:val="fr-FR"/>
        </w:rPr>
        <w:t>, [1992] 3 S.C.R. 813</w:t>
      </w:r>
    </w:p>
    <w:p w14:paraId="757FBA4D" w14:textId="77777777" w:rsidR="00356530" w:rsidRPr="00886BC7" w:rsidRDefault="00356530" w:rsidP="00356530">
      <w:pPr>
        <w:pStyle w:val="ListParagraph"/>
        <w:spacing w:line="276" w:lineRule="auto"/>
        <w:ind w:left="1080"/>
        <w:rPr>
          <w:rFonts w:ascii="Times New Roman" w:hAnsi="Times New Roman"/>
          <w:sz w:val="22"/>
          <w:szCs w:val="22"/>
          <w:lang w:val="fr-FR"/>
        </w:rPr>
      </w:pPr>
    </w:p>
    <w:p w14:paraId="401B0E2A" w14:textId="77777777" w:rsidR="00356530" w:rsidRPr="00886BC7" w:rsidRDefault="00356530" w:rsidP="00356530">
      <w:pPr>
        <w:pStyle w:val="ListParagraph"/>
        <w:widowControl/>
        <w:numPr>
          <w:ilvl w:val="0"/>
          <w:numId w:val="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Property</w:t>
      </w:r>
    </w:p>
    <w:p w14:paraId="68FB3434" w14:textId="77777777" w:rsidR="00356530" w:rsidRPr="00886BC7" w:rsidRDefault="00356530" w:rsidP="00356530">
      <w:pPr>
        <w:pStyle w:val="ListParagraph"/>
        <w:widowControl/>
        <w:numPr>
          <w:ilvl w:val="0"/>
          <w:numId w:val="13"/>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McAndrew v. Rooney-McAndrew</w:t>
      </w:r>
      <w:r w:rsidRPr="00886BC7">
        <w:rPr>
          <w:rFonts w:ascii="Times New Roman" w:hAnsi="Times New Roman"/>
          <w:sz w:val="22"/>
          <w:szCs w:val="22"/>
        </w:rPr>
        <w:t xml:space="preserve">, 2003 PESCAD 25 </w:t>
      </w:r>
    </w:p>
    <w:p w14:paraId="080E8BA8" w14:textId="77777777" w:rsidR="00356530" w:rsidRPr="00886BC7" w:rsidRDefault="00356530" w:rsidP="00356530">
      <w:pPr>
        <w:pStyle w:val="ListParagraph"/>
        <w:widowControl/>
        <w:numPr>
          <w:ilvl w:val="0"/>
          <w:numId w:val="13"/>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Miller v. White</w:t>
      </w:r>
      <w:r w:rsidRPr="00886BC7">
        <w:rPr>
          <w:rFonts w:ascii="Times New Roman" w:hAnsi="Times New Roman"/>
          <w:sz w:val="22"/>
          <w:szCs w:val="22"/>
        </w:rPr>
        <w:t>, 2022 PESC 4</w:t>
      </w:r>
    </w:p>
    <w:p w14:paraId="31105A90" w14:textId="77777777" w:rsidR="00356530" w:rsidRPr="00886BC7" w:rsidRDefault="00356530" w:rsidP="00356530">
      <w:pPr>
        <w:pStyle w:val="ListParagraph"/>
        <w:widowControl/>
        <w:numPr>
          <w:ilvl w:val="0"/>
          <w:numId w:val="13"/>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TLJ v. DDJ</w:t>
      </w:r>
      <w:r w:rsidRPr="00886BC7">
        <w:rPr>
          <w:rFonts w:ascii="Times New Roman" w:hAnsi="Times New Roman"/>
          <w:sz w:val="22"/>
          <w:szCs w:val="22"/>
        </w:rPr>
        <w:t xml:space="preserve">, 2019 PESC 29 </w:t>
      </w:r>
    </w:p>
    <w:p w14:paraId="5B6F186F" w14:textId="77777777" w:rsidR="00356530" w:rsidRPr="00886BC7" w:rsidRDefault="00356530" w:rsidP="00356530">
      <w:pPr>
        <w:pStyle w:val="ListParagraph"/>
        <w:widowControl/>
        <w:numPr>
          <w:ilvl w:val="0"/>
          <w:numId w:val="13"/>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Weeks v. Weeks</w:t>
      </w:r>
      <w:r w:rsidRPr="00886BC7">
        <w:rPr>
          <w:rFonts w:ascii="Times New Roman" w:hAnsi="Times New Roman"/>
          <w:sz w:val="22"/>
          <w:szCs w:val="22"/>
        </w:rPr>
        <w:t>, 2005 PESCAD 6</w:t>
      </w:r>
    </w:p>
    <w:p w14:paraId="50093729" w14:textId="77777777" w:rsidR="00356530" w:rsidRPr="00886BC7" w:rsidRDefault="00356530" w:rsidP="00356530">
      <w:pPr>
        <w:pStyle w:val="ListParagraph"/>
        <w:widowControl/>
        <w:autoSpaceDE/>
        <w:autoSpaceDN/>
        <w:adjustRightInd/>
        <w:spacing w:after="160" w:line="276" w:lineRule="auto"/>
        <w:ind w:left="1080"/>
        <w:rPr>
          <w:rFonts w:ascii="Times New Roman" w:hAnsi="Times New Roman"/>
          <w:sz w:val="22"/>
          <w:szCs w:val="22"/>
        </w:rPr>
      </w:pPr>
    </w:p>
    <w:p w14:paraId="0C95FBC3" w14:textId="77777777" w:rsidR="00356530" w:rsidRPr="00886BC7" w:rsidRDefault="00356530" w:rsidP="00356530">
      <w:pPr>
        <w:pStyle w:val="ListParagraph"/>
        <w:widowControl/>
        <w:numPr>
          <w:ilvl w:val="0"/>
          <w:numId w:val="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Trust Doctrines </w:t>
      </w:r>
    </w:p>
    <w:p w14:paraId="70E80F79" w14:textId="77777777" w:rsidR="00356530" w:rsidRPr="00886BC7" w:rsidRDefault="00356530" w:rsidP="00356530">
      <w:pPr>
        <w:pStyle w:val="ListParagraph"/>
        <w:widowControl/>
        <w:numPr>
          <w:ilvl w:val="0"/>
          <w:numId w:val="14"/>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Enman v. Enman</w:t>
      </w:r>
      <w:r w:rsidRPr="00886BC7">
        <w:rPr>
          <w:rFonts w:ascii="Times New Roman" w:hAnsi="Times New Roman"/>
          <w:sz w:val="22"/>
          <w:szCs w:val="22"/>
        </w:rPr>
        <w:t xml:space="preserve">, 2000 PESCTD 37 </w:t>
      </w:r>
    </w:p>
    <w:p w14:paraId="11A69889" w14:textId="77777777" w:rsidR="00356530" w:rsidRPr="00886BC7" w:rsidRDefault="00356530" w:rsidP="00356530">
      <w:pPr>
        <w:pStyle w:val="ListParagraph"/>
        <w:widowControl/>
        <w:numPr>
          <w:ilvl w:val="0"/>
          <w:numId w:val="14"/>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Kerr v. Baranow</w:t>
      </w:r>
      <w:r w:rsidRPr="00886BC7">
        <w:rPr>
          <w:rFonts w:ascii="Times New Roman" w:hAnsi="Times New Roman"/>
          <w:sz w:val="22"/>
          <w:szCs w:val="22"/>
        </w:rPr>
        <w:t xml:space="preserve">, 2011 SCC 10 </w:t>
      </w:r>
    </w:p>
    <w:p w14:paraId="3F3671BF" w14:textId="77777777" w:rsidR="00356530" w:rsidRPr="00886BC7" w:rsidRDefault="00356530" w:rsidP="00356530">
      <w:pPr>
        <w:pStyle w:val="ListParagraph"/>
        <w:widowControl/>
        <w:autoSpaceDE/>
        <w:autoSpaceDN/>
        <w:adjustRightInd/>
        <w:spacing w:after="160" w:line="276" w:lineRule="auto"/>
        <w:rPr>
          <w:rFonts w:ascii="Times New Roman" w:hAnsi="Times New Roman"/>
          <w:sz w:val="22"/>
          <w:szCs w:val="22"/>
        </w:rPr>
      </w:pPr>
    </w:p>
    <w:p w14:paraId="26B68C26" w14:textId="77777777" w:rsidR="00356530" w:rsidRPr="00886BC7" w:rsidRDefault="00356530" w:rsidP="00356530">
      <w:pPr>
        <w:pStyle w:val="ListParagraph"/>
        <w:widowControl/>
        <w:numPr>
          <w:ilvl w:val="0"/>
          <w:numId w:val="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Experts</w:t>
      </w:r>
    </w:p>
    <w:p w14:paraId="442B4687" w14:textId="77777777" w:rsidR="00356530" w:rsidRPr="00886BC7" w:rsidRDefault="00356530" w:rsidP="00356530">
      <w:pPr>
        <w:pStyle w:val="ListParagraph"/>
        <w:widowControl/>
        <w:numPr>
          <w:ilvl w:val="1"/>
          <w:numId w:val="9"/>
        </w:numPr>
        <w:autoSpaceDE/>
        <w:autoSpaceDN/>
        <w:adjustRightInd/>
        <w:spacing w:line="276" w:lineRule="auto"/>
        <w:rPr>
          <w:rFonts w:ascii="Times New Roman" w:hAnsi="Times New Roman"/>
          <w:sz w:val="22"/>
          <w:szCs w:val="22"/>
        </w:rPr>
      </w:pPr>
      <w:r w:rsidRPr="00886BC7">
        <w:rPr>
          <w:rFonts w:ascii="Times New Roman" w:hAnsi="Times New Roman"/>
          <w:i/>
          <w:iCs/>
          <w:sz w:val="22"/>
          <w:szCs w:val="22"/>
        </w:rPr>
        <w:t>DCP v. MM and DC</w:t>
      </w:r>
      <w:r w:rsidRPr="00886BC7">
        <w:rPr>
          <w:rFonts w:ascii="Times New Roman" w:hAnsi="Times New Roman"/>
          <w:sz w:val="22"/>
          <w:szCs w:val="22"/>
        </w:rPr>
        <w:t>, 2022 PESC 31</w:t>
      </w:r>
    </w:p>
    <w:p w14:paraId="4B3D6FC6" w14:textId="77777777" w:rsidR="00356530" w:rsidRPr="00886BC7" w:rsidRDefault="00356530" w:rsidP="00356530">
      <w:pPr>
        <w:pStyle w:val="ListParagraph"/>
        <w:widowControl/>
        <w:numPr>
          <w:ilvl w:val="1"/>
          <w:numId w:val="9"/>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R. v. Mohan</w:t>
      </w:r>
      <w:r w:rsidRPr="00886BC7">
        <w:rPr>
          <w:rFonts w:ascii="Times New Roman" w:hAnsi="Times New Roman"/>
          <w:sz w:val="22"/>
          <w:szCs w:val="22"/>
        </w:rPr>
        <w:t>, 1994 2 S.C.R 9</w:t>
      </w:r>
    </w:p>
    <w:p w14:paraId="0EF5EAC1" w14:textId="77777777" w:rsidR="00356530" w:rsidRPr="00886BC7" w:rsidRDefault="00356530" w:rsidP="00356530">
      <w:pPr>
        <w:pStyle w:val="ListParagraph"/>
        <w:spacing w:line="276" w:lineRule="auto"/>
        <w:ind w:left="1080"/>
        <w:rPr>
          <w:rFonts w:ascii="Times New Roman" w:hAnsi="Times New Roman"/>
          <w:sz w:val="22"/>
          <w:szCs w:val="22"/>
        </w:rPr>
      </w:pPr>
    </w:p>
    <w:p w14:paraId="0B3BB034" w14:textId="77777777" w:rsidR="00356530" w:rsidRPr="00886BC7" w:rsidRDefault="00356530" w:rsidP="00356530">
      <w:pPr>
        <w:pStyle w:val="ListParagraph"/>
        <w:widowControl/>
        <w:numPr>
          <w:ilvl w:val="0"/>
          <w:numId w:val="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Domestic Contracts</w:t>
      </w:r>
    </w:p>
    <w:p w14:paraId="0BE37650" w14:textId="77777777" w:rsidR="00356530" w:rsidRDefault="00356530" w:rsidP="00356530">
      <w:pPr>
        <w:pStyle w:val="ListParagraph"/>
        <w:widowControl/>
        <w:autoSpaceDE/>
        <w:autoSpaceDN/>
        <w:adjustRightInd/>
        <w:spacing w:after="160" w:line="276" w:lineRule="auto"/>
        <w:ind w:left="1080"/>
        <w:rPr>
          <w:rFonts w:ascii="Times New Roman" w:hAnsi="Times New Roman"/>
          <w:sz w:val="22"/>
          <w:szCs w:val="22"/>
        </w:rPr>
        <w:sectPr w:rsidR="00356530" w:rsidSect="00356530">
          <w:footerReference w:type="default" r:id="rId12"/>
          <w:type w:val="continuous"/>
          <w:pgSz w:w="12240" w:h="15840"/>
          <w:pgMar w:top="1440" w:right="1440" w:bottom="1440" w:left="1440" w:header="720" w:footer="720" w:gutter="0"/>
          <w:pgNumType w:start="29"/>
          <w:cols w:space="720"/>
          <w:docGrid w:linePitch="360"/>
        </w:sectPr>
      </w:pPr>
      <w:r w:rsidRPr="00886BC7">
        <w:rPr>
          <w:rFonts w:ascii="Times New Roman" w:hAnsi="Times New Roman"/>
          <w:i/>
          <w:iCs/>
          <w:sz w:val="22"/>
          <w:szCs w:val="22"/>
        </w:rPr>
        <w:t>Anderson v. Anderson</w:t>
      </w:r>
      <w:r w:rsidRPr="00886BC7">
        <w:rPr>
          <w:rFonts w:ascii="Times New Roman" w:hAnsi="Times New Roman"/>
          <w:sz w:val="22"/>
          <w:szCs w:val="22"/>
        </w:rPr>
        <w:t xml:space="preserve">, 2023 SCC 13 </w:t>
      </w:r>
    </w:p>
    <w:p w14:paraId="7CEB08ED" w14:textId="77777777" w:rsidR="00356530" w:rsidRDefault="00356530" w:rsidP="00356530">
      <w:pPr>
        <w:spacing w:line="276" w:lineRule="auto"/>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lastRenderedPageBreak/>
        <w:t xml:space="preserve">SCHEDULE </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D</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 xml:space="preserve"> TO COMMON LIST OF AUTHORITIES PRACTICE DIRECTION:</w:t>
      </w:r>
    </w:p>
    <w:p w14:paraId="5FC268B4" w14:textId="77777777" w:rsidR="00356530" w:rsidRDefault="00356530" w:rsidP="00356530">
      <w:pPr>
        <w:pStyle w:val="ListParagraph"/>
        <w:widowControl/>
        <w:autoSpaceDE/>
        <w:autoSpaceDN/>
        <w:adjustRightInd/>
        <w:spacing w:after="160" w:line="276" w:lineRule="auto"/>
        <w:ind w:left="1080"/>
        <w:jc w:val="center"/>
        <w:rPr>
          <w:rFonts w:ascii="Times New Roman" w:hAnsi="Times New Roman"/>
          <w:sz w:val="22"/>
          <w:szCs w:val="22"/>
        </w:rPr>
      </w:pPr>
      <w:r w:rsidRPr="006D0A8D">
        <w:rPr>
          <w:rFonts w:ascii="Times New Roman" w:hAnsi="Times New Roman"/>
          <w:b/>
          <w:bCs/>
          <w:sz w:val="22"/>
          <w:szCs w:val="22"/>
          <w:u w:val="single"/>
          <w:lang w:val="en-GB"/>
        </w:rPr>
        <w:t>FAMILY LAW</w:t>
      </w:r>
      <w:r>
        <w:rPr>
          <w:rFonts w:ascii="Times New Roman" w:hAnsi="Times New Roman"/>
          <w:b/>
          <w:bCs/>
          <w:sz w:val="22"/>
          <w:szCs w:val="22"/>
          <w:u w:val="single"/>
          <w:lang w:val="en-GB"/>
        </w:rPr>
        <w:t xml:space="preserve"> (Continued)</w:t>
      </w:r>
    </w:p>
    <w:p w14:paraId="40379DED" w14:textId="77777777" w:rsidR="00356530" w:rsidRDefault="00356530" w:rsidP="00356530">
      <w:pPr>
        <w:pStyle w:val="ListParagraph"/>
        <w:widowControl/>
        <w:autoSpaceDE/>
        <w:autoSpaceDN/>
        <w:adjustRightInd/>
        <w:spacing w:after="160" w:line="276" w:lineRule="auto"/>
        <w:ind w:left="1080"/>
        <w:rPr>
          <w:rFonts w:ascii="Times New Roman" w:hAnsi="Times New Roman"/>
          <w:sz w:val="22"/>
          <w:szCs w:val="22"/>
        </w:rPr>
      </w:pPr>
    </w:p>
    <w:p w14:paraId="30B27373" w14:textId="77777777" w:rsidR="00356530" w:rsidRPr="00886BC7" w:rsidRDefault="00356530" w:rsidP="00356530">
      <w:pPr>
        <w:pStyle w:val="ListParagraph"/>
        <w:widowControl/>
        <w:autoSpaceDE/>
        <w:autoSpaceDN/>
        <w:adjustRightInd/>
        <w:spacing w:after="160" w:line="276" w:lineRule="auto"/>
        <w:ind w:left="1080"/>
        <w:rPr>
          <w:rFonts w:ascii="Times New Roman" w:hAnsi="Times New Roman"/>
          <w:sz w:val="22"/>
          <w:szCs w:val="22"/>
        </w:rPr>
      </w:pPr>
    </w:p>
    <w:p w14:paraId="4903E143" w14:textId="77777777" w:rsidR="00356530" w:rsidRPr="00886BC7" w:rsidRDefault="00356530" w:rsidP="00356530">
      <w:pPr>
        <w:pStyle w:val="ListParagraph"/>
        <w:numPr>
          <w:ilvl w:val="0"/>
          <w:numId w:val="9"/>
        </w:numPr>
        <w:spacing w:line="276" w:lineRule="auto"/>
        <w:rPr>
          <w:rFonts w:ascii="Times New Roman" w:hAnsi="Times New Roman"/>
          <w:sz w:val="22"/>
          <w:szCs w:val="22"/>
        </w:rPr>
      </w:pPr>
      <w:r w:rsidRPr="00886BC7">
        <w:rPr>
          <w:rFonts w:ascii="Times New Roman" w:hAnsi="Times New Roman"/>
          <w:sz w:val="22"/>
          <w:szCs w:val="22"/>
        </w:rPr>
        <w:t>Child Protection</w:t>
      </w:r>
    </w:p>
    <w:p w14:paraId="34E5A30E" w14:textId="77777777" w:rsidR="00356530" w:rsidRPr="00D321C6" w:rsidRDefault="00356530" w:rsidP="00356530">
      <w:pPr>
        <w:pStyle w:val="ListParagraph"/>
        <w:widowControl/>
        <w:numPr>
          <w:ilvl w:val="1"/>
          <w:numId w:val="9"/>
        </w:numPr>
        <w:autoSpaceDE/>
        <w:autoSpaceDN/>
        <w:adjustRightInd/>
        <w:spacing w:line="276" w:lineRule="auto"/>
        <w:rPr>
          <w:rFonts w:ascii="Times New Roman" w:eastAsiaTheme="minorHAnsi" w:hAnsi="Times New Roman"/>
          <w:color w:val="FF0000"/>
          <w:sz w:val="22"/>
          <w:szCs w:val="22"/>
        </w:rPr>
      </w:pPr>
      <w:r w:rsidRPr="00D321C6">
        <w:rPr>
          <w:rFonts w:ascii="Times New Roman" w:hAnsi="Times New Roman"/>
          <w:i/>
          <w:iCs/>
          <w:sz w:val="22"/>
          <w:szCs w:val="22"/>
        </w:rPr>
        <w:t xml:space="preserve">B.J.T. v. J.D., </w:t>
      </w:r>
      <w:r w:rsidRPr="00D321C6">
        <w:rPr>
          <w:rFonts w:ascii="Times New Roman" w:hAnsi="Times New Roman"/>
          <w:sz w:val="22"/>
          <w:szCs w:val="22"/>
        </w:rPr>
        <w:t xml:space="preserve">2022 SCC 24 </w:t>
      </w:r>
    </w:p>
    <w:p w14:paraId="68AD1026" w14:textId="77777777" w:rsidR="00356530" w:rsidRPr="00D321C6" w:rsidRDefault="00356530" w:rsidP="00356530">
      <w:pPr>
        <w:pStyle w:val="ListParagraph"/>
        <w:numPr>
          <w:ilvl w:val="1"/>
          <w:numId w:val="9"/>
        </w:numPr>
        <w:spacing w:line="276" w:lineRule="auto"/>
        <w:rPr>
          <w:rFonts w:ascii="Times New Roman" w:hAnsi="Times New Roman"/>
          <w:sz w:val="22"/>
          <w:szCs w:val="22"/>
        </w:rPr>
      </w:pPr>
      <w:r w:rsidRPr="00D321C6">
        <w:rPr>
          <w:rFonts w:ascii="Times New Roman" w:hAnsi="Times New Roman"/>
          <w:i/>
          <w:iCs/>
          <w:sz w:val="22"/>
          <w:szCs w:val="22"/>
        </w:rPr>
        <w:t>CR v. Nova Scotia (Community Service),</w:t>
      </w:r>
      <w:r w:rsidRPr="00D321C6">
        <w:rPr>
          <w:rFonts w:ascii="Times New Roman" w:hAnsi="Times New Roman"/>
          <w:sz w:val="22"/>
          <w:szCs w:val="22"/>
        </w:rPr>
        <w:t xml:space="preserve"> 2019 NSCA 89</w:t>
      </w:r>
    </w:p>
    <w:p w14:paraId="52516742" w14:textId="77777777" w:rsidR="00356530" w:rsidRPr="00D321C6" w:rsidRDefault="00356530" w:rsidP="00356530">
      <w:pPr>
        <w:pStyle w:val="ListParagraph"/>
        <w:widowControl/>
        <w:numPr>
          <w:ilvl w:val="1"/>
          <w:numId w:val="9"/>
        </w:numPr>
        <w:autoSpaceDE/>
        <w:autoSpaceDN/>
        <w:adjustRightInd/>
        <w:spacing w:line="276" w:lineRule="auto"/>
        <w:rPr>
          <w:rFonts w:ascii="Times New Roman" w:eastAsiaTheme="minorHAnsi" w:hAnsi="Times New Roman"/>
          <w:color w:val="FF0000"/>
          <w:sz w:val="22"/>
          <w:szCs w:val="22"/>
        </w:rPr>
      </w:pPr>
      <w:r w:rsidRPr="00D321C6">
        <w:rPr>
          <w:rFonts w:ascii="Times New Roman" w:eastAsiaTheme="minorHAnsi" w:hAnsi="Times New Roman"/>
          <w:i/>
          <w:iCs/>
          <w:sz w:val="22"/>
          <w:szCs w:val="22"/>
        </w:rPr>
        <w:t xml:space="preserve">DCP v. ADD, JD, and BJT, </w:t>
      </w:r>
      <w:r w:rsidRPr="00D321C6">
        <w:rPr>
          <w:rFonts w:ascii="Times New Roman" w:eastAsiaTheme="minorHAnsi" w:hAnsi="Times New Roman"/>
          <w:sz w:val="22"/>
          <w:szCs w:val="22"/>
        </w:rPr>
        <w:t>2020 PESC 9</w:t>
      </w:r>
    </w:p>
    <w:p w14:paraId="17F32692" w14:textId="77777777" w:rsidR="00356530" w:rsidRPr="00D321C6" w:rsidRDefault="00356530" w:rsidP="00356530">
      <w:pPr>
        <w:pStyle w:val="ListParagraph"/>
        <w:widowControl/>
        <w:numPr>
          <w:ilvl w:val="1"/>
          <w:numId w:val="9"/>
        </w:numPr>
        <w:autoSpaceDE/>
        <w:autoSpaceDN/>
        <w:adjustRightInd/>
        <w:spacing w:line="276" w:lineRule="auto"/>
        <w:rPr>
          <w:rFonts w:ascii="Times New Roman" w:eastAsiaTheme="minorHAnsi" w:hAnsi="Times New Roman"/>
          <w:color w:val="FF0000"/>
          <w:sz w:val="22"/>
          <w:szCs w:val="22"/>
        </w:rPr>
      </w:pPr>
      <w:r w:rsidRPr="00D321C6">
        <w:rPr>
          <w:rFonts w:ascii="Times New Roman" w:eastAsiaTheme="minorHAnsi" w:hAnsi="Times New Roman"/>
          <w:i/>
          <w:iCs/>
          <w:sz w:val="22"/>
          <w:szCs w:val="22"/>
        </w:rPr>
        <w:t xml:space="preserve">DCP v. AP and JWB, </w:t>
      </w:r>
      <w:r w:rsidRPr="00D321C6">
        <w:rPr>
          <w:rFonts w:ascii="Times New Roman" w:eastAsiaTheme="minorHAnsi" w:hAnsi="Times New Roman"/>
          <w:sz w:val="22"/>
          <w:szCs w:val="22"/>
        </w:rPr>
        <w:t>2020 PESC 4</w:t>
      </w:r>
    </w:p>
    <w:p w14:paraId="661B6F7A" w14:textId="77777777" w:rsidR="00356530" w:rsidRPr="00D321C6" w:rsidRDefault="00356530" w:rsidP="00356530">
      <w:pPr>
        <w:pStyle w:val="ListParagraph"/>
        <w:widowControl/>
        <w:numPr>
          <w:ilvl w:val="1"/>
          <w:numId w:val="9"/>
        </w:numPr>
        <w:autoSpaceDE/>
        <w:autoSpaceDN/>
        <w:adjustRightInd/>
        <w:contextualSpacing w:val="0"/>
        <w:rPr>
          <w:rFonts w:ascii="Times New Roman" w:hAnsi="Times New Roman"/>
          <w:sz w:val="22"/>
          <w:szCs w:val="22"/>
        </w:rPr>
      </w:pPr>
      <w:r w:rsidRPr="00D321C6">
        <w:rPr>
          <w:rFonts w:ascii="Times New Roman" w:hAnsi="Times New Roman"/>
          <w:i/>
          <w:iCs/>
          <w:sz w:val="22"/>
          <w:szCs w:val="22"/>
          <w:lang w:val="en-CA"/>
        </w:rPr>
        <w:t>DCP v. CEH, DG and PG</w:t>
      </w:r>
      <w:r w:rsidRPr="00D321C6">
        <w:rPr>
          <w:rFonts w:ascii="Times New Roman" w:hAnsi="Times New Roman"/>
          <w:sz w:val="22"/>
          <w:szCs w:val="22"/>
          <w:lang w:val="en-CA"/>
        </w:rPr>
        <w:t>, 2025 PECA 4</w:t>
      </w:r>
    </w:p>
    <w:p w14:paraId="45907D40" w14:textId="77777777" w:rsidR="00356530" w:rsidRPr="00D321C6" w:rsidRDefault="00356530" w:rsidP="00356530">
      <w:pPr>
        <w:pStyle w:val="ListParagraph"/>
        <w:widowControl/>
        <w:numPr>
          <w:ilvl w:val="1"/>
          <w:numId w:val="9"/>
        </w:numPr>
        <w:autoSpaceDE/>
        <w:autoSpaceDN/>
        <w:adjustRightInd/>
        <w:contextualSpacing w:val="0"/>
        <w:rPr>
          <w:rFonts w:ascii="Times New Roman" w:hAnsi="Times New Roman"/>
          <w:sz w:val="22"/>
          <w:szCs w:val="22"/>
          <w:lang w:val="fr-FR"/>
        </w:rPr>
      </w:pPr>
      <w:r w:rsidRPr="00D321C6">
        <w:rPr>
          <w:rFonts w:ascii="Times New Roman" w:hAnsi="Times New Roman"/>
          <w:i/>
          <w:iCs/>
          <w:sz w:val="22"/>
          <w:szCs w:val="22"/>
          <w:lang w:val="fr-FR"/>
        </w:rPr>
        <w:t>DCP v. CS, JK et al</w:t>
      </w:r>
      <w:r w:rsidRPr="00D321C6">
        <w:rPr>
          <w:rFonts w:ascii="Times New Roman" w:hAnsi="Times New Roman"/>
          <w:sz w:val="22"/>
          <w:szCs w:val="22"/>
          <w:lang w:val="fr-FR"/>
        </w:rPr>
        <w:t>, 2023 PESC 6</w:t>
      </w:r>
    </w:p>
    <w:p w14:paraId="5321E999" w14:textId="77777777" w:rsidR="00356530" w:rsidRPr="00D321C6" w:rsidRDefault="00356530" w:rsidP="00356530">
      <w:pPr>
        <w:pStyle w:val="ListParagraph"/>
        <w:widowControl/>
        <w:numPr>
          <w:ilvl w:val="1"/>
          <w:numId w:val="9"/>
        </w:numPr>
        <w:autoSpaceDE/>
        <w:autoSpaceDN/>
        <w:adjustRightInd/>
        <w:contextualSpacing w:val="0"/>
        <w:rPr>
          <w:rFonts w:ascii="Times New Roman" w:hAnsi="Times New Roman"/>
          <w:sz w:val="22"/>
          <w:szCs w:val="22"/>
          <w:lang w:val="en-CA"/>
        </w:rPr>
      </w:pPr>
      <w:r w:rsidRPr="00D321C6">
        <w:rPr>
          <w:rFonts w:ascii="Times New Roman" w:hAnsi="Times New Roman"/>
          <w:i/>
          <w:iCs/>
          <w:sz w:val="22"/>
          <w:szCs w:val="22"/>
          <w:lang w:val="en-CA"/>
        </w:rPr>
        <w:t xml:space="preserve">DCP v. C.S., J.K., E.N., and D.M., </w:t>
      </w:r>
      <w:r w:rsidRPr="00D321C6">
        <w:rPr>
          <w:rFonts w:ascii="Times New Roman" w:hAnsi="Times New Roman"/>
          <w:sz w:val="22"/>
          <w:szCs w:val="22"/>
          <w:lang w:val="en-CA"/>
        </w:rPr>
        <w:t>2025 PESC 15</w:t>
      </w:r>
    </w:p>
    <w:p w14:paraId="570B7B41" w14:textId="77777777" w:rsidR="00356530" w:rsidRPr="00886BC7" w:rsidRDefault="00356530" w:rsidP="00356530">
      <w:pPr>
        <w:pStyle w:val="ListParagraph"/>
        <w:widowControl/>
        <w:numPr>
          <w:ilvl w:val="1"/>
          <w:numId w:val="9"/>
        </w:numPr>
        <w:autoSpaceDE/>
        <w:autoSpaceDN/>
        <w:adjustRightInd/>
        <w:spacing w:line="276" w:lineRule="auto"/>
        <w:rPr>
          <w:rFonts w:ascii="Times New Roman" w:eastAsiaTheme="minorHAnsi" w:hAnsi="Times New Roman"/>
          <w:color w:val="FF0000"/>
          <w:sz w:val="22"/>
          <w:szCs w:val="22"/>
        </w:rPr>
      </w:pPr>
      <w:r w:rsidRPr="00D321C6">
        <w:rPr>
          <w:rFonts w:ascii="Times New Roman" w:eastAsiaTheme="minorHAnsi" w:hAnsi="Times New Roman"/>
          <w:i/>
          <w:iCs/>
          <w:sz w:val="22"/>
          <w:szCs w:val="22"/>
        </w:rPr>
        <w:t xml:space="preserve">DCP v. HC and LB, </w:t>
      </w:r>
      <w:r w:rsidRPr="00D321C6">
        <w:rPr>
          <w:rFonts w:ascii="Times New Roman" w:eastAsiaTheme="minorHAnsi" w:hAnsi="Times New Roman"/>
          <w:sz w:val="22"/>
          <w:szCs w:val="22"/>
        </w:rPr>
        <w:t>2021</w:t>
      </w:r>
      <w:r w:rsidRPr="00886BC7">
        <w:rPr>
          <w:rFonts w:ascii="Times New Roman" w:eastAsiaTheme="minorHAnsi" w:hAnsi="Times New Roman"/>
          <w:sz w:val="22"/>
          <w:szCs w:val="22"/>
        </w:rPr>
        <w:t xml:space="preserve"> PESC 45</w:t>
      </w:r>
    </w:p>
    <w:p w14:paraId="6E84634C" w14:textId="77777777" w:rsidR="00356530" w:rsidRPr="00D321C6" w:rsidRDefault="00356530" w:rsidP="00356530">
      <w:pPr>
        <w:pStyle w:val="ListParagraph"/>
        <w:numPr>
          <w:ilvl w:val="1"/>
          <w:numId w:val="9"/>
        </w:numPr>
        <w:spacing w:line="276" w:lineRule="auto"/>
        <w:rPr>
          <w:rFonts w:ascii="Times New Roman" w:hAnsi="Times New Roman"/>
          <w:sz w:val="22"/>
          <w:szCs w:val="22"/>
        </w:rPr>
      </w:pPr>
      <w:r w:rsidRPr="00886BC7">
        <w:rPr>
          <w:rFonts w:ascii="Times New Roman" w:eastAsiaTheme="minorHAnsi" w:hAnsi="Times New Roman"/>
          <w:i/>
          <w:iCs/>
          <w:sz w:val="22"/>
          <w:szCs w:val="22"/>
        </w:rPr>
        <w:t xml:space="preserve">DCP v. JM and JM, </w:t>
      </w:r>
      <w:r w:rsidRPr="00886BC7">
        <w:rPr>
          <w:rFonts w:ascii="Times New Roman" w:eastAsiaTheme="minorHAnsi" w:hAnsi="Times New Roman"/>
          <w:sz w:val="22"/>
          <w:szCs w:val="22"/>
        </w:rPr>
        <w:t>2022 PESC 3</w:t>
      </w:r>
    </w:p>
    <w:p w14:paraId="67E25005" w14:textId="77777777" w:rsidR="00356530" w:rsidRPr="00886BC7" w:rsidRDefault="00356530" w:rsidP="00356530">
      <w:pPr>
        <w:pStyle w:val="ListParagraph"/>
        <w:widowControl/>
        <w:numPr>
          <w:ilvl w:val="1"/>
          <w:numId w:val="9"/>
        </w:numPr>
        <w:autoSpaceDE/>
        <w:autoSpaceDN/>
        <w:adjustRightInd/>
        <w:spacing w:line="276" w:lineRule="auto"/>
        <w:rPr>
          <w:rFonts w:ascii="Times New Roman" w:eastAsiaTheme="minorHAnsi" w:hAnsi="Times New Roman"/>
          <w:color w:val="FF0000"/>
          <w:sz w:val="22"/>
          <w:szCs w:val="22"/>
        </w:rPr>
      </w:pPr>
      <w:r w:rsidRPr="00886BC7">
        <w:rPr>
          <w:rFonts w:ascii="Times New Roman" w:eastAsiaTheme="minorHAnsi" w:hAnsi="Times New Roman"/>
          <w:i/>
          <w:iCs/>
          <w:sz w:val="22"/>
          <w:szCs w:val="22"/>
        </w:rPr>
        <w:t xml:space="preserve">DCP v. MM and DC, </w:t>
      </w:r>
      <w:r w:rsidRPr="00886BC7">
        <w:rPr>
          <w:rFonts w:ascii="Times New Roman" w:eastAsiaTheme="minorHAnsi" w:hAnsi="Times New Roman"/>
          <w:sz w:val="22"/>
          <w:szCs w:val="22"/>
        </w:rPr>
        <w:t>2022 PESC 31</w:t>
      </w:r>
    </w:p>
    <w:p w14:paraId="7024C1EE" w14:textId="77777777" w:rsidR="00356530" w:rsidRPr="00D321C6" w:rsidRDefault="00356530" w:rsidP="00356530">
      <w:pPr>
        <w:pStyle w:val="ListParagraph"/>
        <w:widowControl/>
        <w:numPr>
          <w:ilvl w:val="1"/>
          <w:numId w:val="9"/>
        </w:numPr>
        <w:autoSpaceDE/>
        <w:autoSpaceDN/>
        <w:adjustRightInd/>
        <w:spacing w:line="276" w:lineRule="auto"/>
        <w:rPr>
          <w:rFonts w:ascii="Times New Roman" w:eastAsiaTheme="minorHAnsi" w:hAnsi="Times New Roman"/>
          <w:color w:val="FF0000"/>
          <w:sz w:val="22"/>
          <w:szCs w:val="22"/>
        </w:rPr>
      </w:pPr>
      <w:r w:rsidRPr="00D321C6">
        <w:rPr>
          <w:rFonts w:ascii="Times New Roman" w:eastAsiaTheme="minorHAnsi" w:hAnsi="Times New Roman"/>
          <w:i/>
          <w:iCs/>
          <w:sz w:val="22"/>
          <w:szCs w:val="22"/>
        </w:rPr>
        <w:t xml:space="preserve">DCP v. VM and JM, </w:t>
      </w:r>
      <w:r w:rsidRPr="00D321C6">
        <w:rPr>
          <w:rFonts w:ascii="Times New Roman" w:eastAsiaTheme="minorHAnsi" w:hAnsi="Times New Roman"/>
          <w:sz w:val="22"/>
          <w:szCs w:val="22"/>
        </w:rPr>
        <w:t>2014 PESC 1</w:t>
      </w:r>
    </w:p>
    <w:p w14:paraId="4D30B9CD" w14:textId="77777777" w:rsidR="00356530" w:rsidRPr="00886BC7" w:rsidRDefault="00356530" w:rsidP="00356530">
      <w:pPr>
        <w:pStyle w:val="ListParagraph"/>
        <w:numPr>
          <w:ilvl w:val="1"/>
          <w:numId w:val="9"/>
        </w:numPr>
        <w:spacing w:line="276" w:lineRule="auto"/>
        <w:rPr>
          <w:rFonts w:ascii="Times New Roman" w:hAnsi="Times New Roman"/>
          <w:sz w:val="22"/>
          <w:szCs w:val="22"/>
        </w:rPr>
      </w:pPr>
      <w:r w:rsidRPr="00886BC7">
        <w:rPr>
          <w:rFonts w:ascii="Times New Roman" w:hAnsi="Times New Roman"/>
          <w:i/>
          <w:iCs/>
          <w:sz w:val="22"/>
          <w:szCs w:val="22"/>
        </w:rPr>
        <w:t>DCW (PEI) v. AH and JD</w:t>
      </w:r>
      <w:r w:rsidRPr="00886BC7">
        <w:rPr>
          <w:rFonts w:ascii="Times New Roman" w:hAnsi="Times New Roman"/>
          <w:sz w:val="22"/>
          <w:szCs w:val="22"/>
        </w:rPr>
        <w:t>, 2009 PECA 19</w:t>
      </w:r>
    </w:p>
    <w:p w14:paraId="6154CE81" w14:textId="77777777" w:rsidR="00356530" w:rsidRPr="00886BC7" w:rsidRDefault="00356530" w:rsidP="00356530">
      <w:pPr>
        <w:pStyle w:val="ListParagraph"/>
        <w:numPr>
          <w:ilvl w:val="1"/>
          <w:numId w:val="9"/>
        </w:numPr>
        <w:spacing w:line="276" w:lineRule="auto"/>
        <w:rPr>
          <w:rFonts w:ascii="Times New Roman" w:hAnsi="Times New Roman"/>
          <w:sz w:val="22"/>
          <w:szCs w:val="22"/>
        </w:rPr>
      </w:pPr>
      <w:proofErr w:type="spellStart"/>
      <w:r w:rsidRPr="00886BC7">
        <w:rPr>
          <w:rFonts w:ascii="Times New Roman" w:hAnsi="Times New Roman"/>
          <w:i/>
          <w:iCs/>
          <w:sz w:val="22"/>
          <w:szCs w:val="22"/>
        </w:rPr>
        <w:t>Kanthasamy</w:t>
      </w:r>
      <w:proofErr w:type="spellEnd"/>
      <w:r w:rsidRPr="00886BC7">
        <w:rPr>
          <w:rFonts w:ascii="Times New Roman" w:hAnsi="Times New Roman"/>
          <w:i/>
          <w:iCs/>
          <w:sz w:val="22"/>
          <w:szCs w:val="22"/>
        </w:rPr>
        <w:t xml:space="preserve"> v. Canada (Minister of Citizenship and Immigration</w:t>
      </w:r>
      <w:r w:rsidRPr="00886BC7">
        <w:rPr>
          <w:rFonts w:ascii="Times New Roman" w:hAnsi="Times New Roman"/>
          <w:sz w:val="22"/>
          <w:szCs w:val="22"/>
        </w:rPr>
        <w:t xml:space="preserve">), </w:t>
      </w:r>
      <w:r>
        <w:rPr>
          <w:rFonts w:ascii="Times New Roman" w:hAnsi="Times New Roman"/>
          <w:sz w:val="22"/>
          <w:szCs w:val="22"/>
        </w:rPr>
        <w:t>[</w:t>
      </w:r>
      <w:r w:rsidRPr="00886BC7">
        <w:rPr>
          <w:rFonts w:ascii="Times New Roman" w:hAnsi="Times New Roman"/>
          <w:sz w:val="22"/>
          <w:szCs w:val="22"/>
        </w:rPr>
        <w:t>2015</w:t>
      </w:r>
      <w:r>
        <w:rPr>
          <w:rFonts w:ascii="Times New Roman" w:hAnsi="Times New Roman"/>
          <w:sz w:val="22"/>
          <w:szCs w:val="22"/>
        </w:rPr>
        <w:t>]</w:t>
      </w:r>
      <w:r w:rsidRPr="00886BC7">
        <w:rPr>
          <w:rFonts w:ascii="Times New Roman" w:hAnsi="Times New Roman"/>
          <w:sz w:val="22"/>
          <w:szCs w:val="22"/>
        </w:rPr>
        <w:t xml:space="preserve"> 3 S.C.R 909</w:t>
      </w:r>
    </w:p>
    <w:p w14:paraId="308EC5D7" w14:textId="77777777" w:rsidR="00356530" w:rsidRPr="009F000E" w:rsidRDefault="00356530" w:rsidP="00356530">
      <w:pPr>
        <w:pStyle w:val="ListParagraph"/>
        <w:widowControl/>
        <w:numPr>
          <w:ilvl w:val="1"/>
          <w:numId w:val="9"/>
        </w:numPr>
        <w:autoSpaceDE/>
        <w:autoSpaceDN/>
        <w:adjustRightInd/>
        <w:spacing w:line="276" w:lineRule="auto"/>
        <w:rPr>
          <w:rFonts w:ascii="Times New Roman" w:eastAsiaTheme="minorHAnsi" w:hAnsi="Times New Roman"/>
          <w:color w:val="FF0000"/>
          <w:sz w:val="22"/>
          <w:szCs w:val="22"/>
        </w:rPr>
      </w:pPr>
      <w:r w:rsidRPr="00886BC7">
        <w:rPr>
          <w:rFonts w:ascii="Times New Roman" w:eastAsiaTheme="minorHAnsi" w:hAnsi="Times New Roman"/>
          <w:i/>
          <w:iCs/>
          <w:sz w:val="22"/>
          <w:szCs w:val="22"/>
        </w:rPr>
        <w:t>R. v. Gladstone</w:t>
      </w:r>
      <w:r w:rsidRPr="00886BC7">
        <w:rPr>
          <w:rFonts w:ascii="Times New Roman" w:eastAsiaTheme="minorHAnsi" w:hAnsi="Times New Roman"/>
          <w:sz w:val="22"/>
          <w:szCs w:val="22"/>
        </w:rPr>
        <w:t xml:space="preserve">, </w:t>
      </w:r>
      <w:r>
        <w:rPr>
          <w:rFonts w:ascii="Times New Roman" w:eastAsiaTheme="minorHAnsi" w:hAnsi="Times New Roman"/>
          <w:sz w:val="22"/>
          <w:szCs w:val="22"/>
        </w:rPr>
        <w:t>[</w:t>
      </w:r>
      <w:r w:rsidRPr="00886BC7">
        <w:rPr>
          <w:rFonts w:ascii="Times New Roman" w:eastAsiaTheme="minorHAnsi" w:hAnsi="Times New Roman"/>
          <w:sz w:val="22"/>
          <w:szCs w:val="22"/>
        </w:rPr>
        <w:t>1996</w:t>
      </w:r>
      <w:r>
        <w:rPr>
          <w:rFonts w:ascii="Times New Roman" w:eastAsiaTheme="minorHAnsi" w:hAnsi="Times New Roman"/>
          <w:sz w:val="22"/>
          <w:szCs w:val="22"/>
        </w:rPr>
        <w:t>]</w:t>
      </w:r>
      <w:r w:rsidRPr="00886BC7">
        <w:rPr>
          <w:rFonts w:ascii="Times New Roman" w:eastAsiaTheme="minorHAnsi" w:hAnsi="Times New Roman"/>
          <w:sz w:val="22"/>
          <w:szCs w:val="22"/>
        </w:rPr>
        <w:t xml:space="preserve"> 2 S.C.R 72</w:t>
      </w:r>
    </w:p>
    <w:p w14:paraId="5FB4C132" w14:textId="32366A99" w:rsidR="00ED1BFF" w:rsidRDefault="00ED1BFF" w:rsidP="00356530"/>
    <w:sectPr w:rsidR="00ED1BF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0CD0D" w14:textId="77777777" w:rsidR="00CE4554" w:rsidRDefault="00CE4554">
      <w:r>
        <w:separator/>
      </w:r>
    </w:p>
  </w:endnote>
  <w:endnote w:type="continuationSeparator" w:id="0">
    <w:p w14:paraId="008C6C55" w14:textId="77777777" w:rsidR="00CE4554" w:rsidRDefault="00CE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FA6F" w14:textId="4614E6C1" w:rsidR="00356530" w:rsidRDefault="00356530">
    <w:pPr>
      <w:pStyle w:val="Footer"/>
      <w:jc w:val="center"/>
    </w:pPr>
  </w:p>
  <w:p w14:paraId="29F05116" w14:textId="77777777" w:rsidR="00356530" w:rsidRDefault="00356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0F97" w14:textId="77777777" w:rsidR="00356530" w:rsidRDefault="00356530">
    <w:pPr>
      <w:pStyle w:val="Footer"/>
      <w:jc w:val="center"/>
    </w:pPr>
  </w:p>
  <w:p w14:paraId="4A2DCA54" w14:textId="77777777" w:rsidR="00356530" w:rsidRPr="009707AB" w:rsidRDefault="00356530" w:rsidP="00DA42B6">
    <w:pPr>
      <w:spacing w:line="276" w:lineRule="auto"/>
      <w:jc w:val="center"/>
      <w:rPr>
        <w:rFonts w:ascii="Times New Roman" w:hAnsi="Times New Roman"/>
        <w:sz w:val="22"/>
        <w:szCs w:val="22"/>
        <w:lang w:val="en-GB"/>
      </w:rPr>
    </w:pPr>
    <w:r w:rsidRPr="009707AB">
      <w:rPr>
        <w:rFonts w:ascii="Times New Roman" w:hAnsi="Times New Roman"/>
        <w:sz w:val="22"/>
        <w:szCs w:val="22"/>
        <w:lang w:val="en-GB"/>
      </w:rPr>
      <w:t>Schedule “A” to Common List of Authorities Practice Direction: Administrative Law – Page 1</w:t>
    </w:r>
  </w:p>
  <w:p w14:paraId="59B7D460" w14:textId="77777777" w:rsidR="00356530" w:rsidRDefault="00356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10745"/>
      <w:docPartObj>
        <w:docPartGallery w:val="Page Numbers (Bottom of Page)"/>
        <w:docPartUnique/>
      </w:docPartObj>
    </w:sdtPr>
    <w:sdtEndPr>
      <w:rPr>
        <w:noProof/>
      </w:rPr>
    </w:sdtEndPr>
    <w:sdtContent>
      <w:p w14:paraId="57C8105F" w14:textId="77777777" w:rsidR="00356530" w:rsidRDefault="00356530" w:rsidP="00974527">
        <w:pPr>
          <w:pStyle w:val="ListBullet"/>
          <w:numPr>
            <w:ilvl w:val="0"/>
            <w:numId w:val="0"/>
          </w:numPr>
          <w:spacing w:line="276" w:lineRule="auto"/>
          <w:ind w:left="360" w:hanging="360"/>
          <w:jc w:val="center"/>
        </w:pPr>
      </w:p>
      <w:p w14:paraId="3128E4DA" w14:textId="77777777" w:rsidR="00356530" w:rsidRDefault="00356530" w:rsidP="00974527">
        <w:pPr>
          <w:pStyle w:val="ListBullet"/>
          <w:numPr>
            <w:ilvl w:val="0"/>
            <w:numId w:val="0"/>
          </w:numPr>
          <w:spacing w:line="276" w:lineRule="auto"/>
          <w:ind w:left="360" w:hanging="360"/>
          <w:jc w:val="center"/>
        </w:pPr>
      </w:p>
      <w:p w14:paraId="08E05EF5" w14:textId="77777777" w:rsidR="00356530" w:rsidRPr="00974527" w:rsidRDefault="00356530" w:rsidP="00974527">
        <w:pPr>
          <w:pStyle w:val="ListBullet"/>
          <w:numPr>
            <w:ilvl w:val="0"/>
            <w:numId w:val="0"/>
          </w:numPr>
          <w:spacing w:line="276" w:lineRule="auto"/>
          <w:ind w:left="360" w:hanging="360"/>
          <w:jc w:val="center"/>
          <w:rPr>
            <w:rFonts w:ascii="Times New Roman" w:eastAsiaTheme="minorHAnsi" w:hAnsi="Times New Roman"/>
            <w:sz w:val="22"/>
            <w:szCs w:val="22"/>
          </w:rPr>
        </w:pPr>
        <w:r w:rsidRPr="004F446C">
          <w:rPr>
            <w:rFonts w:ascii="Times New Roman" w:hAnsi="Times New Roman"/>
            <w:sz w:val="22"/>
            <w:szCs w:val="22"/>
            <w:lang w:val="en-GB"/>
          </w:rPr>
          <w:t xml:space="preserve">Schedule “B” to Common List of Authorities Practice Direction: </w:t>
        </w:r>
        <w:r w:rsidRPr="004F446C">
          <w:rPr>
            <w:rFonts w:ascii="Times New Roman" w:eastAsiaTheme="minorHAnsi" w:hAnsi="Times New Roman"/>
            <w:sz w:val="22"/>
            <w:szCs w:val="22"/>
          </w:rPr>
          <w:t>Civil Law – Page 1</w:t>
        </w:r>
      </w:p>
    </w:sdtContent>
  </w:sdt>
  <w:p w14:paraId="22A795BA" w14:textId="77777777" w:rsidR="00356530" w:rsidRDefault="003565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046257"/>
      <w:docPartObj>
        <w:docPartGallery w:val="Page Numbers (Bottom of Page)"/>
        <w:docPartUnique/>
      </w:docPartObj>
    </w:sdtPr>
    <w:sdtEndPr>
      <w:rPr>
        <w:noProof/>
      </w:rPr>
    </w:sdtEndPr>
    <w:sdtContent>
      <w:p w14:paraId="1B15C0CC" w14:textId="77777777" w:rsidR="00356530" w:rsidRDefault="00356530" w:rsidP="00AC550F">
        <w:pPr>
          <w:pStyle w:val="Footer"/>
          <w:jc w:val="center"/>
        </w:pPr>
      </w:p>
      <w:p w14:paraId="2C921433" w14:textId="77777777" w:rsidR="00356530" w:rsidRDefault="00356530">
        <w:pPr>
          <w:pStyle w:val="Footer"/>
          <w:jc w:val="center"/>
        </w:pPr>
      </w:p>
      <w:p w14:paraId="7B1DA3F1" w14:textId="77777777" w:rsidR="00356530" w:rsidRDefault="00356530" w:rsidP="00974527">
        <w:pPr>
          <w:pStyle w:val="Footer"/>
          <w:jc w:val="center"/>
        </w:pPr>
        <w:r w:rsidRPr="00E962FD">
          <w:rPr>
            <w:rFonts w:ascii="Times New Roman" w:hAnsi="Times New Roman"/>
            <w:sz w:val="22"/>
            <w:szCs w:val="22"/>
            <w:lang w:val="en-GB"/>
          </w:rPr>
          <w:t>Schedule “C” to Common List of Authorities Practice Direction: Criminal Law – Page 1</w:t>
        </w:r>
      </w:p>
    </w:sdtContent>
  </w:sdt>
  <w:p w14:paraId="3B275654" w14:textId="77777777" w:rsidR="00356530" w:rsidRDefault="003565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526646"/>
      <w:docPartObj>
        <w:docPartGallery w:val="Page Numbers (Bottom of Page)"/>
        <w:docPartUnique/>
      </w:docPartObj>
    </w:sdtPr>
    <w:sdtEndPr>
      <w:rPr>
        <w:noProof/>
      </w:rPr>
    </w:sdtEndPr>
    <w:sdtContent>
      <w:p w14:paraId="5E0E451D" w14:textId="77777777" w:rsidR="00356530" w:rsidRDefault="003565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7E3FC7" w14:textId="77777777" w:rsidR="00356530" w:rsidRDefault="003565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100559"/>
      <w:docPartObj>
        <w:docPartGallery w:val="Page Numbers (Bottom of Page)"/>
        <w:docPartUnique/>
      </w:docPartObj>
    </w:sdtPr>
    <w:sdtEndPr>
      <w:rPr>
        <w:noProof/>
      </w:rPr>
    </w:sdtEndPr>
    <w:sdtContent>
      <w:p w14:paraId="6C21787F" w14:textId="77777777" w:rsidR="00356530" w:rsidRDefault="00356530">
        <w:pPr>
          <w:pStyle w:val="Footer"/>
          <w:jc w:val="center"/>
        </w:pPr>
        <w:r w:rsidRPr="00D722C6">
          <w:rPr>
            <w:rFonts w:ascii="Times New Roman" w:hAnsi="Times New Roman"/>
            <w:sz w:val="22"/>
            <w:szCs w:val="22"/>
            <w:lang w:val="en-GB"/>
          </w:rPr>
          <w:t>Schedule “D” to Common List of Authorities Practice Direction: Family Law – Page 1</w:t>
        </w:r>
      </w:p>
    </w:sdtContent>
  </w:sdt>
  <w:p w14:paraId="5B1882BE" w14:textId="77777777" w:rsidR="00356530" w:rsidRDefault="0035653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E7FA" w14:textId="671AD15C" w:rsidR="00356530" w:rsidRDefault="00CE4554">
    <w:pPr>
      <w:pStyle w:val="Footer"/>
    </w:pPr>
    <w:r w:rsidRPr="00D722C6">
      <w:rPr>
        <w:rFonts w:ascii="Times New Roman" w:hAnsi="Times New Roman"/>
        <w:sz w:val="22"/>
        <w:szCs w:val="22"/>
        <w:lang w:val="en-GB"/>
      </w:rPr>
      <w:t>Schedule “D” to Common List of Authorities Practice Direction: Family Law – Page</w:t>
    </w:r>
    <w:r>
      <w:rPr>
        <w:rFonts w:ascii="Times New Roman" w:hAnsi="Times New Roman"/>
        <w:sz w:val="22"/>
        <w:szCs w:val="22"/>
        <w:lang w:val="en-GB"/>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E81AE" w14:textId="77777777" w:rsidR="00CE4554" w:rsidRDefault="00CE4554">
      <w:r>
        <w:separator/>
      </w:r>
    </w:p>
  </w:footnote>
  <w:footnote w:type="continuationSeparator" w:id="0">
    <w:p w14:paraId="09BEA6D1" w14:textId="77777777" w:rsidR="00CE4554" w:rsidRDefault="00CE4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2F0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94B8B"/>
    <w:multiLevelType w:val="hybridMultilevel"/>
    <w:tmpl w:val="892A7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97D8B"/>
    <w:multiLevelType w:val="hybridMultilevel"/>
    <w:tmpl w:val="B4B4D03E"/>
    <w:lvl w:ilvl="0" w:tplc="C0728C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185283"/>
    <w:multiLevelType w:val="hybridMultilevel"/>
    <w:tmpl w:val="7D04A706"/>
    <w:lvl w:ilvl="0" w:tplc="3858DA80">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0921E9"/>
    <w:multiLevelType w:val="hybridMultilevel"/>
    <w:tmpl w:val="77AEDFA8"/>
    <w:lvl w:ilvl="0" w:tplc="D584DD3E">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B25083"/>
    <w:multiLevelType w:val="hybridMultilevel"/>
    <w:tmpl w:val="4EAC9B12"/>
    <w:lvl w:ilvl="0" w:tplc="C85E3D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F96C48"/>
    <w:multiLevelType w:val="hybridMultilevel"/>
    <w:tmpl w:val="3138A1C4"/>
    <w:lvl w:ilvl="0" w:tplc="C7549C9A">
      <w:start w:val="1"/>
      <w:numFmt w:val="decimal"/>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F336E"/>
    <w:multiLevelType w:val="hybridMultilevel"/>
    <w:tmpl w:val="45C403B4"/>
    <w:lvl w:ilvl="0" w:tplc="0409000F">
      <w:start w:val="1"/>
      <w:numFmt w:val="decimal"/>
      <w:lvlText w:val="%1."/>
      <w:lvlJc w:val="left"/>
      <w:pPr>
        <w:ind w:left="720" w:hanging="360"/>
      </w:pPr>
      <w:rPr>
        <w:rFonts w:hint="default"/>
      </w:rPr>
    </w:lvl>
    <w:lvl w:ilvl="1" w:tplc="67E40C2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02701"/>
    <w:multiLevelType w:val="hybridMultilevel"/>
    <w:tmpl w:val="3BDE24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910165"/>
    <w:multiLevelType w:val="hybridMultilevel"/>
    <w:tmpl w:val="D212B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62829A1"/>
    <w:multiLevelType w:val="hybridMultilevel"/>
    <w:tmpl w:val="90BE61E6"/>
    <w:lvl w:ilvl="0" w:tplc="36969CEA">
      <w:start w:val="1"/>
      <w:numFmt w:val="lowerRoman"/>
      <w:lvlText w:val="(%1)"/>
      <w:lvlJc w:val="righ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697513C"/>
    <w:multiLevelType w:val="hybridMultilevel"/>
    <w:tmpl w:val="AEAA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C09D8"/>
    <w:multiLevelType w:val="hybridMultilevel"/>
    <w:tmpl w:val="BE5C60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B76359"/>
    <w:multiLevelType w:val="hybridMultilevel"/>
    <w:tmpl w:val="E924983A"/>
    <w:lvl w:ilvl="0" w:tplc="B9569B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41245611">
    <w:abstractNumId w:val="6"/>
  </w:num>
  <w:num w:numId="2" w16cid:durableId="57214010">
    <w:abstractNumId w:val="0"/>
  </w:num>
  <w:num w:numId="3" w16cid:durableId="391927906">
    <w:abstractNumId w:val="10"/>
  </w:num>
  <w:num w:numId="4" w16cid:durableId="1371952556">
    <w:abstractNumId w:val="1"/>
  </w:num>
  <w:num w:numId="5" w16cid:durableId="1060910132">
    <w:abstractNumId w:val="11"/>
  </w:num>
  <w:num w:numId="6" w16cid:durableId="1628731435">
    <w:abstractNumId w:val="8"/>
  </w:num>
  <w:num w:numId="7" w16cid:durableId="1637031970">
    <w:abstractNumId w:val="12"/>
  </w:num>
  <w:num w:numId="8" w16cid:durableId="53282368">
    <w:abstractNumId w:val="9"/>
  </w:num>
  <w:num w:numId="9" w16cid:durableId="883903620">
    <w:abstractNumId w:val="7"/>
  </w:num>
  <w:num w:numId="10" w16cid:durableId="1456633595">
    <w:abstractNumId w:val="3"/>
  </w:num>
  <w:num w:numId="11" w16cid:durableId="319507500">
    <w:abstractNumId w:val="4"/>
  </w:num>
  <w:num w:numId="12" w16cid:durableId="1924680106">
    <w:abstractNumId w:val="2"/>
  </w:num>
  <w:num w:numId="13" w16cid:durableId="1046101327">
    <w:abstractNumId w:val="5"/>
  </w:num>
  <w:num w:numId="14" w16cid:durableId="2821500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30"/>
    <w:rsid w:val="000824AF"/>
    <w:rsid w:val="00356530"/>
    <w:rsid w:val="003E4C92"/>
    <w:rsid w:val="00424F8B"/>
    <w:rsid w:val="004C60FA"/>
    <w:rsid w:val="008D7D56"/>
    <w:rsid w:val="009230C7"/>
    <w:rsid w:val="009F000E"/>
    <w:rsid w:val="009F7CD3"/>
    <w:rsid w:val="00B42811"/>
    <w:rsid w:val="00CE4554"/>
    <w:rsid w:val="00D62ABD"/>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93EB"/>
  <w15:chartTrackingRefBased/>
  <w15:docId w15:val="{54A409DA-C651-4B08-B440-576191D0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530"/>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356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5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5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565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5653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653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653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653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53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53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5653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565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65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65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65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65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53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5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65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6530"/>
    <w:rPr>
      <w:i/>
      <w:iCs/>
      <w:color w:val="404040" w:themeColor="text1" w:themeTint="BF"/>
    </w:rPr>
  </w:style>
  <w:style w:type="paragraph" w:styleId="ListParagraph">
    <w:name w:val="List Paragraph"/>
    <w:basedOn w:val="Normal"/>
    <w:uiPriority w:val="34"/>
    <w:qFormat/>
    <w:rsid w:val="00356530"/>
    <w:pPr>
      <w:ind w:left="720"/>
      <w:contextualSpacing/>
    </w:pPr>
  </w:style>
  <w:style w:type="character" w:styleId="IntenseEmphasis">
    <w:name w:val="Intense Emphasis"/>
    <w:basedOn w:val="DefaultParagraphFont"/>
    <w:uiPriority w:val="21"/>
    <w:qFormat/>
    <w:rsid w:val="00356530"/>
    <w:rPr>
      <w:i/>
      <w:iCs/>
      <w:color w:val="0F4761" w:themeColor="accent1" w:themeShade="BF"/>
    </w:rPr>
  </w:style>
  <w:style w:type="paragraph" w:styleId="IntenseQuote">
    <w:name w:val="Intense Quote"/>
    <w:basedOn w:val="Normal"/>
    <w:next w:val="Normal"/>
    <w:link w:val="IntenseQuoteChar"/>
    <w:uiPriority w:val="30"/>
    <w:qFormat/>
    <w:rsid w:val="00356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530"/>
    <w:rPr>
      <w:i/>
      <w:iCs/>
      <w:color w:val="0F4761" w:themeColor="accent1" w:themeShade="BF"/>
    </w:rPr>
  </w:style>
  <w:style w:type="character" w:styleId="IntenseReference">
    <w:name w:val="Intense Reference"/>
    <w:basedOn w:val="DefaultParagraphFont"/>
    <w:uiPriority w:val="32"/>
    <w:qFormat/>
    <w:rsid w:val="00356530"/>
    <w:rPr>
      <w:b/>
      <w:bCs/>
      <w:smallCaps/>
      <w:color w:val="0F4761" w:themeColor="accent1" w:themeShade="BF"/>
      <w:spacing w:val="5"/>
    </w:rPr>
  </w:style>
  <w:style w:type="paragraph" w:styleId="Footer">
    <w:name w:val="footer"/>
    <w:basedOn w:val="Normal"/>
    <w:link w:val="FooterChar"/>
    <w:uiPriority w:val="99"/>
    <w:unhideWhenUsed/>
    <w:rsid w:val="00356530"/>
    <w:pPr>
      <w:tabs>
        <w:tab w:val="center" w:pos="4680"/>
        <w:tab w:val="right" w:pos="9360"/>
      </w:tabs>
    </w:pPr>
  </w:style>
  <w:style w:type="character" w:customStyle="1" w:styleId="FooterChar">
    <w:name w:val="Footer Char"/>
    <w:basedOn w:val="DefaultParagraphFont"/>
    <w:link w:val="Footer"/>
    <w:uiPriority w:val="99"/>
    <w:rsid w:val="00356530"/>
    <w:rPr>
      <w:rFonts w:ascii="CG Omega" w:eastAsia="Times New Roman" w:hAnsi="CG Omega" w:cs="Times New Roman"/>
      <w:kern w:val="0"/>
      <w:sz w:val="20"/>
      <w14:ligatures w14:val="none"/>
    </w:rPr>
  </w:style>
  <w:style w:type="paragraph" w:customStyle="1" w:styleId="Default">
    <w:name w:val="Default"/>
    <w:rsid w:val="00356530"/>
    <w:pPr>
      <w:autoSpaceDE w:val="0"/>
      <w:autoSpaceDN w:val="0"/>
      <w:adjustRightInd w:val="0"/>
    </w:pPr>
    <w:rPr>
      <w:rFonts w:ascii="Calibri" w:hAnsi="Calibri" w:cs="Calibri"/>
      <w:color w:val="000000"/>
      <w:kern w:val="0"/>
      <w14:ligatures w14:val="none"/>
    </w:rPr>
  </w:style>
  <w:style w:type="paragraph" w:styleId="ListBullet">
    <w:name w:val="List Bullet"/>
    <w:basedOn w:val="Normal"/>
    <w:uiPriority w:val="99"/>
    <w:unhideWhenUsed/>
    <w:rsid w:val="00356530"/>
    <w:pPr>
      <w:numPr>
        <w:numId w:val="2"/>
      </w:numPr>
      <w:tabs>
        <w:tab w:val="clear" w:pos="360"/>
      </w:tabs>
      <w:ind w:left="0" w:firstLine="0"/>
      <w:contextualSpacing/>
    </w:pPr>
  </w:style>
  <w:style w:type="paragraph" w:styleId="Header">
    <w:name w:val="header"/>
    <w:basedOn w:val="Normal"/>
    <w:link w:val="HeaderChar"/>
    <w:uiPriority w:val="99"/>
    <w:unhideWhenUsed/>
    <w:rsid w:val="00CE4554"/>
    <w:pPr>
      <w:tabs>
        <w:tab w:val="center" w:pos="4680"/>
        <w:tab w:val="right" w:pos="9360"/>
      </w:tabs>
    </w:pPr>
  </w:style>
  <w:style w:type="character" w:customStyle="1" w:styleId="HeaderChar">
    <w:name w:val="Header Char"/>
    <w:basedOn w:val="DefaultParagraphFont"/>
    <w:link w:val="Header"/>
    <w:uiPriority w:val="99"/>
    <w:rsid w:val="00CE4554"/>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892</Words>
  <Characters>5085</Characters>
  <Application>Microsoft Office Word</Application>
  <DocSecurity>0</DocSecurity>
  <Lines>42</Lines>
  <Paragraphs>11</Paragraphs>
  <ScaleCrop>false</ScaleCrop>
  <Company>ITSS</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3</cp:revision>
  <dcterms:created xsi:type="dcterms:W3CDTF">2025-08-21T18:46:00Z</dcterms:created>
  <dcterms:modified xsi:type="dcterms:W3CDTF">2025-08-25T16:31:00Z</dcterms:modified>
</cp:coreProperties>
</file>