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7A76" w14:textId="77777777" w:rsidR="00E02191" w:rsidRPr="00886BC7" w:rsidRDefault="00E02191" w:rsidP="00E02191">
      <w:pPr>
        <w:pStyle w:val="BodyText"/>
        <w:numPr>
          <w:ilvl w:val="4"/>
          <w:numId w:val="2"/>
        </w:numPr>
        <w:spacing w:after="0" w:line="276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Hlk200973237"/>
      <w:r w:rsidRPr="00886BC7">
        <w:rPr>
          <w:rFonts w:ascii="Times New Roman" w:hAnsi="Times New Roman"/>
          <w:b/>
          <w:bCs/>
          <w:sz w:val="22"/>
          <w:szCs w:val="22"/>
        </w:rPr>
        <w:t>GENERAL FILING GUIDANCE</w:t>
      </w:r>
      <w:bookmarkEnd w:id="0"/>
    </w:p>
    <w:p w14:paraId="7C9FB5D7" w14:textId="77777777" w:rsidR="00E02191" w:rsidRPr="00886BC7" w:rsidRDefault="00E02191" w:rsidP="00E02191">
      <w:pPr>
        <w:pStyle w:val="BodyText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160FE30F" w14:textId="77777777" w:rsidR="00E02191" w:rsidRPr="00886BC7" w:rsidRDefault="00E02191" w:rsidP="00E0219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  <w:u w:val="single"/>
        </w:rPr>
        <w:t>Number of Copies</w:t>
      </w:r>
    </w:p>
    <w:p w14:paraId="7A8663ED" w14:textId="77777777" w:rsidR="00E02191" w:rsidRPr="00886BC7" w:rsidRDefault="00E02191" w:rsidP="00E02191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10B4851E" w14:textId="77777777" w:rsidR="00E02191" w:rsidRPr="00886BC7" w:rsidRDefault="00E02191" w:rsidP="00E02191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>Lawyers and self-represented parties are to file the correct number of copies of all documents. The court generally requires an original for the court file, a copy for the party filing, and sufficient copies for all other parties.</w:t>
      </w:r>
    </w:p>
    <w:p w14:paraId="786399D9" w14:textId="77777777" w:rsidR="00E02191" w:rsidRPr="00886BC7" w:rsidRDefault="00E02191" w:rsidP="00E02191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201224C0" w14:textId="77777777" w:rsidR="00E02191" w:rsidRPr="00886BC7" w:rsidRDefault="00E02191" w:rsidP="00E0219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  <w:u w:val="single"/>
        </w:rPr>
        <w:t>Front Sheets</w:t>
      </w:r>
    </w:p>
    <w:p w14:paraId="7318AA98" w14:textId="77777777" w:rsidR="00E02191" w:rsidRPr="00886BC7" w:rsidRDefault="00E02191" w:rsidP="00E02191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1455890D" w14:textId="77777777" w:rsidR="00E02191" w:rsidRPr="00886BC7" w:rsidRDefault="00E02191" w:rsidP="00E02191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886BC7">
        <w:rPr>
          <w:rFonts w:ascii="Times New Roman" w:hAnsi="Times New Roman"/>
          <w:sz w:val="22"/>
          <w:szCs w:val="22"/>
          <w:lang w:val="en-GB"/>
        </w:rPr>
        <w:t xml:space="preserve">Any memorandum, factum, record, appeal book, or other document requiring a front sheet shall emphasize </w:t>
      </w:r>
      <w:r w:rsidRPr="00C167BE">
        <w:rPr>
          <w:rFonts w:ascii="Times New Roman" w:hAnsi="Times New Roman"/>
          <w:sz w:val="22"/>
          <w:szCs w:val="22"/>
          <w:lang w:val="en-GB"/>
        </w:rPr>
        <w:t>(</w:t>
      </w:r>
      <w:r>
        <w:rPr>
          <w:rFonts w:ascii="Times New Roman" w:hAnsi="Times New Roman"/>
          <w:sz w:val="22"/>
          <w:szCs w:val="22"/>
          <w:lang w:val="en-GB"/>
        </w:rPr>
        <w:t xml:space="preserve">in </w:t>
      </w:r>
      <w:r w:rsidRPr="00C167BE">
        <w:rPr>
          <w:rFonts w:ascii="Times New Roman" w:hAnsi="Times New Roman"/>
          <w:b/>
          <w:bCs/>
          <w:sz w:val="22"/>
          <w:szCs w:val="22"/>
          <w:lang w:val="en-GB"/>
        </w:rPr>
        <w:t>bold</w:t>
      </w:r>
      <w:r w:rsidRPr="00C167BE">
        <w:rPr>
          <w:rFonts w:ascii="Times New Roman" w:hAnsi="Times New Roman"/>
          <w:sz w:val="22"/>
          <w:szCs w:val="22"/>
          <w:lang w:val="en-GB"/>
        </w:rPr>
        <w:t>)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86BC7">
        <w:rPr>
          <w:rFonts w:ascii="Times New Roman" w:hAnsi="Times New Roman"/>
          <w:sz w:val="22"/>
          <w:szCs w:val="22"/>
          <w:lang w:val="en-GB"/>
        </w:rPr>
        <w:t>on the front sheet the name and contact information of the party filing the document.</w:t>
      </w:r>
    </w:p>
    <w:p w14:paraId="307766B4" w14:textId="77777777" w:rsidR="00E02191" w:rsidRPr="00886BC7" w:rsidRDefault="00E02191" w:rsidP="00E02191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FABDCF5" w14:textId="77777777" w:rsidR="00E02191" w:rsidRPr="003F781D" w:rsidRDefault="00E02191" w:rsidP="00E02191">
      <w:pPr>
        <w:pStyle w:val="ListParagraph"/>
        <w:numPr>
          <w:ilvl w:val="0"/>
          <w:numId w:val="1"/>
        </w:numPr>
        <w:tabs>
          <w:tab w:val="left" w:pos="-1440"/>
        </w:tabs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  <w:r w:rsidRPr="003F781D">
        <w:rPr>
          <w:rFonts w:ascii="Times New Roman" w:hAnsi="Times New Roman"/>
          <w:sz w:val="22"/>
          <w:szCs w:val="22"/>
          <w:u w:val="single"/>
          <w:lang w:val="en-GB"/>
        </w:rPr>
        <w:t>Affidavits</w:t>
      </w:r>
    </w:p>
    <w:p w14:paraId="2F488D7A" w14:textId="77777777" w:rsidR="00E02191" w:rsidRPr="003F781D" w:rsidRDefault="00E02191" w:rsidP="00E02191">
      <w:pPr>
        <w:tabs>
          <w:tab w:val="left" w:pos="-1440"/>
        </w:tabs>
        <w:spacing w:line="276" w:lineRule="auto"/>
        <w:ind w:left="720" w:hanging="7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D685F82" w14:textId="77777777" w:rsidR="00E02191" w:rsidRPr="003F781D" w:rsidRDefault="00E02191" w:rsidP="00E021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3F781D">
        <w:rPr>
          <w:rFonts w:ascii="Times New Roman" w:hAnsi="Times New Roman"/>
          <w:sz w:val="22"/>
          <w:szCs w:val="22"/>
          <w:lang w:val="en-GB"/>
        </w:rPr>
        <w:t>Lawyers and self-represented parties should avoid including a page in an affidavit which contains only the signature(s).</w:t>
      </w:r>
    </w:p>
    <w:p w14:paraId="7824BE10" w14:textId="77777777" w:rsidR="00E02191" w:rsidRDefault="00E02191" w:rsidP="00E02191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349C62BA" w14:textId="77777777" w:rsidR="00E02191" w:rsidRPr="00886BC7" w:rsidRDefault="00E02191" w:rsidP="00E021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886BC7">
        <w:rPr>
          <w:rFonts w:ascii="Times New Roman" w:hAnsi="Times New Roman"/>
          <w:sz w:val="22"/>
          <w:szCs w:val="22"/>
          <w:lang w:val="en-GB"/>
        </w:rPr>
        <w:t xml:space="preserve">When filing an affidavit that has an exhibit attached, the exhibit stamp is to be on the exhibit </w:t>
      </w:r>
      <w:r>
        <w:rPr>
          <w:rFonts w:ascii="Times New Roman" w:hAnsi="Times New Roman"/>
          <w:sz w:val="22"/>
          <w:szCs w:val="22"/>
          <w:lang w:val="en-GB"/>
        </w:rPr>
        <w:t>(</w:t>
      </w:r>
      <w:r w:rsidRPr="00886BC7">
        <w:rPr>
          <w:rFonts w:ascii="Times New Roman" w:hAnsi="Times New Roman"/>
          <w:sz w:val="22"/>
          <w:szCs w:val="22"/>
          <w:lang w:val="en-GB"/>
        </w:rPr>
        <w:t>not on a separate piece of paper attached to the exhibit</w:t>
      </w:r>
      <w:r>
        <w:rPr>
          <w:rFonts w:ascii="Times New Roman" w:hAnsi="Times New Roman"/>
          <w:sz w:val="22"/>
          <w:szCs w:val="22"/>
          <w:lang w:val="en-GB"/>
        </w:rPr>
        <w:t>),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 unless it is not feasible or appropriate to include the stamp on the exhibit.</w:t>
      </w:r>
    </w:p>
    <w:p w14:paraId="6E84373C" w14:textId="77777777" w:rsidR="00E02191" w:rsidRPr="00886BC7" w:rsidRDefault="00E02191" w:rsidP="00E02191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147E571" w14:textId="77777777" w:rsidR="00E02191" w:rsidRPr="00886BC7" w:rsidRDefault="00E02191" w:rsidP="00E02191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  <w:u w:val="single"/>
        </w:rPr>
        <w:t>Delivery of Documents</w:t>
      </w:r>
    </w:p>
    <w:p w14:paraId="1E3A0894" w14:textId="77777777" w:rsidR="00E02191" w:rsidRPr="00886BC7" w:rsidRDefault="00E02191" w:rsidP="00E02191">
      <w:pPr>
        <w:pStyle w:val="BodyText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3367D827" w14:textId="77777777" w:rsidR="00E02191" w:rsidRPr="00886BC7" w:rsidRDefault="00E02191" w:rsidP="00E02191">
      <w:pPr>
        <w:pStyle w:val="BodyTex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From time to time the </w:t>
      </w:r>
      <w:r>
        <w:rPr>
          <w:rFonts w:ascii="Times New Roman" w:hAnsi="Times New Roman"/>
          <w:sz w:val="22"/>
          <w:szCs w:val="22"/>
        </w:rPr>
        <w:t>presiding judge is not</w:t>
      </w:r>
      <w:r w:rsidRPr="00886BC7">
        <w:rPr>
          <w:rFonts w:ascii="Times New Roman" w:hAnsi="Times New Roman"/>
          <w:sz w:val="22"/>
          <w:szCs w:val="22"/>
        </w:rPr>
        <w:t xml:space="preserve"> aware of documents that </w:t>
      </w:r>
      <w:r>
        <w:rPr>
          <w:rFonts w:ascii="Times New Roman" w:hAnsi="Times New Roman"/>
          <w:sz w:val="22"/>
          <w:szCs w:val="22"/>
        </w:rPr>
        <w:t>have been</w:t>
      </w:r>
      <w:r w:rsidRPr="00886BC7">
        <w:rPr>
          <w:rFonts w:ascii="Times New Roman" w:hAnsi="Times New Roman"/>
          <w:sz w:val="22"/>
          <w:szCs w:val="22"/>
        </w:rPr>
        <w:t xml:space="preserve"> filed with the Registrar</w:t>
      </w:r>
      <w:r>
        <w:rPr>
          <w:rFonts w:ascii="Times New Roman" w:hAnsi="Times New Roman"/>
          <w:sz w:val="22"/>
          <w:szCs w:val="22"/>
        </w:rPr>
        <w:t>’s office</w:t>
      </w:r>
      <w:r w:rsidRPr="00886BC7">
        <w:rPr>
          <w:rFonts w:ascii="Times New Roman" w:hAnsi="Times New Roman"/>
          <w:sz w:val="22"/>
          <w:szCs w:val="22"/>
        </w:rPr>
        <w:t xml:space="preserve"> until </w:t>
      </w:r>
      <w:r>
        <w:rPr>
          <w:rFonts w:ascii="Times New Roman" w:hAnsi="Times New Roman"/>
          <w:sz w:val="22"/>
          <w:szCs w:val="22"/>
        </w:rPr>
        <w:t>the hearing</w:t>
      </w:r>
      <w:r w:rsidRPr="00886B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</w:t>
      </w:r>
      <w:r w:rsidRPr="00886BC7"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>begun</w:t>
      </w:r>
      <w:r w:rsidRPr="00886BC7">
        <w:rPr>
          <w:rFonts w:ascii="Times New Roman" w:hAnsi="Times New Roman"/>
          <w:sz w:val="22"/>
          <w:szCs w:val="22"/>
        </w:rPr>
        <w:t xml:space="preserve">.  This may occur when there has been an adjournment to allow time to file Briefs, with a return day being set, or in matters that are being brought quickly before the court.  </w:t>
      </w:r>
    </w:p>
    <w:p w14:paraId="31DC2776" w14:textId="77777777" w:rsidR="00E02191" w:rsidRDefault="00E02191" w:rsidP="00E02191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5E2A4CB" w14:textId="77777777" w:rsidR="00E02191" w:rsidRPr="00886BC7" w:rsidRDefault="00E02191" w:rsidP="00E02191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42D8F229" w14:textId="77777777" w:rsidR="00E02191" w:rsidRPr="00886BC7" w:rsidRDefault="00E02191" w:rsidP="00E02191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886BC7">
        <w:rPr>
          <w:rFonts w:ascii="Times New Roman" w:hAnsi="Times New Roman"/>
          <w:sz w:val="22"/>
          <w:szCs w:val="22"/>
          <w:lang w:val="en-GB"/>
        </w:rPr>
        <w:t xml:space="preserve">In these circumstances, it is the responsibility of the lawyer or self-represented party who is filing the documents to instruct the deputy registrar </w:t>
      </w:r>
      <w:r>
        <w:rPr>
          <w:rFonts w:ascii="Times New Roman" w:hAnsi="Times New Roman"/>
          <w:sz w:val="22"/>
          <w:szCs w:val="22"/>
          <w:lang w:val="en-GB"/>
        </w:rPr>
        <w:t>that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 the documents should be delivered immediately to the judge hearing the matter.  </w:t>
      </w:r>
    </w:p>
    <w:p w14:paraId="17CEF6BF" w14:textId="77777777" w:rsidR="00E02191" w:rsidRPr="00886BC7" w:rsidRDefault="00E02191" w:rsidP="00E02191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9DCCDC8" w14:textId="77777777" w:rsidR="00E02191" w:rsidRPr="00886BC7" w:rsidRDefault="00E02191" w:rsidP="00E02191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6CF6E0A" w14:textId="77777777" w:rsidR="00E02191" w:rsidRPr="00886BC7" w:rsidRDefault="00E02191" w:rsidP="00E021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en-GB"/>
        </w:rPr>
      </w:pPr>
      <w:r w:rsidRPr="00886BC7">
        <w:rPr>
          <w:rFonts w:ascii="Times New Roman" w:hAnsi="Times New Roman"/>
          <w:sz w:val="22"/>
          <w:szCs w:val="22"/>
          <w:u w:val="single"/>
          <w:lang w:val="en-GB"/>
        </w:rPr>
        <w:t>Page Numbering</w:t>
      </w:r>
    </w:p>
    <w:p w14:paraId="7EBD3D30" w14:textId="77777777" w:rsidR="00E02191" w:rsidRPr="00886BC7" w:rsidRDefault="00E02191" w:rsidP="00E02191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2BED2A2" w14:textId="33ADF20E" w:rsidR="00ED1BFF" w:rsidRPr="00E02191" w:rsidRDefault="00E02191" w:rsidP="00E02191">
      <w:pPr>
        <w:pStyle w:val="ListParagraph"/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822307">
        <w:rPr>
          <w:rFonts w:ascii="Times New Roman" w:hAnsi="Times New Roman"/>
          <w:i/>
          <w:iCs/>
          <w:sz w:val="22"/>
          <w:szCs w:val="22"/>
          <w:lang w:val="en-GB"/>
        </w:rPr>
        <w:t>Rules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 37.07(7) and 38.10(2)</w:t>
      </w:r>
      <w:r>
        <w:rPr>
          <w:rFonts w:ascii="Times New Roman" w:hAnsi="Times New Roman"/>
          <w:sz w:val="22"/>
          <w:szCs w:val="22"/>
          <w:lang w:val="en-GB"/>
        </w:rPr>
        <w:t xml:space="preserve"> address page numbering for </w:t>
      </w:r>
      <w:r w:rsidRPr="00886BC7">
        <w:rPr>
          <w:rFonts w:ascii="Times New Roman" w:hAnsi="Times New Roman"/>
          <w:sz w:val="22"/>
          <w:szCs w:val="22"/>
          <w:lang w:val="en-GB"/>
        </w:rPr>
        <w:t>motion records and application records. Lawyers and self-represented litigants may consecutively number the pages of each separate document (for example, the notice of motion, factum, and affidavit). Where a lawyer or self-represented party files an affidavit that is not part of an application or motion record, the affidavit is to include page numbers.</w:t>
      </w:r>
    </w:p>
    <w:sectPr w:rsidR="00ED1BFF" w:rsidRPr="00E0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31D"/>
    <w:multiLevelType w:val="hybridMultilevel"/>
    <w:tmpl w:val="501E046A"/>
    <w:lvl w:ilvl="0" w:tplc="678CCE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560A4E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6969CEA">
      <w:start w:val="1"/>
      <w:numFmt w:val="lowerRoman"/>
      <w:lvlText w:val="(%3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3" w:tplc="36969CEA">
      <w:start w:val="1"/>
      <w:numFmt w:val="lowerRoman"/>
      <w:lvlText w:val="(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F5C4294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713"/>
    <w:multiLevelType w:val="hybridMultilevel"/>
    <w:tmpl w:val="1B0AC798"/>
    <w:lvl w:ilvl="0" w:tplc="9C26E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C7A45"/>
    <w:multiLevelType w:val="hybridMultilevel"/>
    <w:tmpl w:val="C7B6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2710">
    <w:abstractNumId w:val="2"/>
  </w:num>
  <w:num w:numId="2" w16cid:durableId="1771197234">
    <w:abstractNumId w:val="0"/>
  </w:num>
  <w:num w:numId="3" w16cid:durableId="8447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1"/>
    <w:rsid w:val="000824AF"/>
    <w:rsid w:val="003E4C92"/>
    <w:rsid w:val="00424F8B"/>
    <w:rsid w:val="004C60FA"/>
    <w:rsid w:val="008D7D56"/>
    <w:rsid w:val="009230C7"/>
    <w:rsid w:val="009F7CD3"/>
    <w:rsid w:val="00B42811"/>
    <w:rsid w:val="00E0219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4F32"/>
  <w15:chartTrackingRefBased/>
  <w15:docId w15:val="{3E475818-DBF4-4713-9FDB-A5315E1D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91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1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1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1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1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1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1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1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1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1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1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1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1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1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1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1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1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1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191"/>
    <w:rPr>
      <w:b/>
      <w:bCs/>
      <w:smallCaps/>
      <w:color w:val="0F4761" w:themeColor="accent1" w:themeShade="BF"/>
      <w:spacing w:val="5"/>
    </w:rPr>
  </w:style>
  <w:style w:type="paragraph" w:customStyle="1" w:styleId="PRACTICENOTE">
    <w:name w:val="PRACTICENOTE"/>
    <w:basedOn w:val="Normal"/>
    <w:rsid w:val="00E02191"/>
    <w:pPr>
      <w:spacing w:after="116" w:line="216" w:lineRule="auto"/>
      <w:jc w:val="center"/>
    </w:pPr>
    <w:rPr>
      <w:rFonts w:ascii="Times New Roman" w:hAnsi="Times New Roman"/>
      <w:b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02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2191"/>
    <w:rPr>
      <w:rFonts w:ascii="CG Omega" w:eastAsia="Times New Roman" w:hAnsi="CG Omega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ITSS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2025-08-21T18:09:00Z</dcterms:created>
  <dcterms:modified xsi:type="dcterms:W3CDTF">2025-08-21T18:10:00Z</dcterms:modified>
</cp:coreProperties>
</file>