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A9614" w14:textId="77777777" w:rsidR="009A42C0" w:rsidRPr="00886BC7" w:rsidRDefault="009A42C0" w:rsidP="009A42C0">
      <w:pPr>
        <w:pStyle w:val="BodyText"/>
        <w:spacing w:after="0" w:line="276" w:lineRule="auto"/>
        <w:ind w:left="1440"/>
        <w:jc w:val="center"/>
        <w:rPr>
          <w:rFonts w:ascii="Times New Roman" w:hAnsi="Times New Roman"/>
          <w:b/>
          <w:sz w:val="22"/>
          <w:szCs w:val="22"/>
        </w:rPr>
      </w:pPr>
      <w:bookmarkStart w:id="0" w:name="_Hlk200970636"/>
      <w:r>
        <w:rPr>
          <w:rFonts w:ascii="Times New Roman" w:hAnsi="Times New Roman"/>
          <w:b/>
          <w:bCs/>
          <w:sz w:val="22"/>
          <w:szCs w:val="22"/>
        </w:rPr>
        <w:t xml:space="preserve">B.    </w:t>
      </w:r>
      <w:r w:rsidRPr="00886BC7">
        <w:rPr>
          <w:rFonts w:ascii="Times New Roman" w:hAnsi="Times New Roman"/>
          <w:b/>
          <w:bCs/>
          <w:sz w:val="22"/>
          <w:szCs w:val="22"/>
        </w:rPr>
        <w:t>NOTICE TO MEDIA RE: DISCRETIONARY PUBLICATION</w:t>
      </w:r>
      <w:r w:rsidRPr="00886BC7">
        <w:rPr>
          <w:rFonts w:ascii="Times New Roman" w:hAnsi="Times New Roman"/>
          <w:b/>
          <w:sz w:val="22"/>
          <w:szCs w:val="22"/>
        </w:rPr>
        <w:t>, SEALING ORDER, RESTRICTED ACCESS ORDER, OR CONFIDENTIALITY ORDER</w:t>
      </w:r>
    </w:p>
    <w:bookmarkEnd w:id="0"/>
    <w:p w14:paraId="224C5B27" w14:textId="77777777" w:rsidR="009A42C0" w:rsidRPr="00886BC7" w:rsidRDefault="009A42C0" w:rsidP="009A42C0">
      <w:pPr>
        <w:spacing w:line="276" w:lineRule="auto"/>
        <w:rPr>
          <w:rFonts w:ascii="Times New Roman" w:hAnsi="Times New Roman"/>
          <w:sz w:val="22"/>
          <w:szCs w:val="22"/>
        </w:rPr>
      </w:pPr>
    </w:p>
    <w:p w14:paraId="6651B17F" w14:textId="77777777" w:rsidR="009A42C0" w:rsidRPr="00886BC7" w:rsidRDefault="009A42C0" w:rsidP="009A42C0">
      <w:pPr>
        <w:pStyle w:val="ListParagraph"/>
        <w:numPr>
          <w:ilvl w:val="0"/>
          <w:numId w:val="1"/>
        </w:numPr>
        <w:spacing w:line="276" w:lineRule="auto"/>
        <w:jc w:val="both"/>
        <w:rPr>
          <w:rFonts w:ascii="Times New Roman" w:hAnsi="Times New Roman"/>
          <w:sz w:val="22"/>
          <w:szCs w:val="22"/>
        </w:rPr>
      </w:pPr>
      <w:r w:rsidRPr="00886BC7">
        <w:rPr>
          <w:rFonts w:ascii="Times New Roman" w:hAnsi="Times New Roman"/>
          <w:sz w:val="22"/>
          <w:szCs w:val="22"/>
        </w:rPr>
        <w:t xml:space="preserve">In </w:t>
      </w:r>
      <w:r w:rsidRPr="0033305D">
        <w:rPr>
          <w:rFonts w:ascii="Times New Roman" w:hAnsi="Times New Roman"/>
          <w:bCs/>
          <w:i/>
          <w:sz w:val="22"/>
          <w:szCs w:val="22"/>
        </w:rPr>
        <w:t>Dagenais v CBC</w:t>
      </w:r>
      <w:r w:rsidRPr="00886BC7">
        <w:rPr>
          <w:rFonts w:ascii="Times New Roman" w:hAnsi="Times New Roman"/>
          <w:sz w:val="22"/>
          <w:szCs w:val="22"/>
        </w:rPr>
        <w:t xml:space="preserve">, [1994] 3 S.C.R. 835 the Supreme Court of Canada held that when a party seeks a discretionary publication ban, the media are entitled to reasonable notice of the application/motion and the opportunity to make representations before a decision on whether to issue a ban is made.  In addition, parties occasionally request that the court issue a sealing order, restricted access order or confidentiality order in relation to all or portions of a court file. </w:t>
      </w:r>
    </w:p>
    <w:p w14:paraId="6713362B" w14:textId="77777777" w:rsidR="009A42C0" w:rsidRPr="00886BC7" w:rsidRDefault="009A42C0" w:rsidP="009A42C0">
      <w:pPr>
        <w:spacing w:line="276" w:lineRule="auto"/>
        <w:jc w:val="both"/>
        <w:rPr>
          <w:rFonts w:ascii="Times New Roman" w:hAnsi="Times New Roman"/>
          <w:sz w:val="22"/>
          <w:szCs w:val="22"/>
        </w:rPr>
      </w:pPr>
    </w:p>
    <w:p w14:paraId="6711F213" w14:textId="77777777" w:rsidR="009A42C0" w:rsidRPr="00886BC7" w:rsidRDefault="009A42C0" w:rsidP="009A42C0">
      <w:pPr>
        <w:pStyle w:val="ListParagraph"/>
        <w:numPr>
          <w:ilvl w:val="0"/>
          <w:numId w:val="1"/>
        </w:numPr>
        <w:spacing w:line="276" w:lineRule="auto"/>
        <w:jc w:val="both"/>
        <w:rPr>
          <w:rFonts w:ascii="Times New Roman" w:hAnsi="Times New Roman"/>
          <w:sz w:val="22"/>
          <w:szCs w:val="22"/>
        </w:rPr>
      </w:pPr>
      <w:r w:rsidRPr="00886BC7">
        <w:rPr>
          <w:rFonts w:ascii="Times New Roman" w:hAnsi="Times New Roman"/>
          <w:sz w:val="22"/>
          <w:szCs w:val="22"/>
        </w:rPr>
        <w:t>For uniformity of practice, the following procedure is to be followed when a party makes an application/motion seeking a discretionary publication ban, sealing order, restricted access order or confidentiality order:</w:t>
      </w:r>
    </w:p>
    <w:p w14:paraId="3680B6AB" w14:textId="77777777" w:rsidR="009A42C0" w:rsidRPr="00886BC7" w:rsidRDefault="009A42C0" w:rsidP="009A42C0">
      <w:pPr>
        <w:pStyle w:val="ListParagraph"/>
        <w:rPr>
          <w:rFonts w:ascii="Times New Roman" w:hAnsi="Times New Roman"/>
          <w:sz w:val="22"/>
          <w:szCs w:val="22"/>
        </w:rPr>
      </w:pPr>
    </w:p>
    <w:p w14:paraId="02EC89F4" w14:textId="77777777" w:rsidR="009A42C0" w:rsidRPr="00886BC7" w:rsidRDefault="009A42C0" w:rsidP="009A42C0">
      <w:pPr>
        <w:pStyle w:val="ListParagraph"/>
        <w:numPr>
          <w:ilvl w:val="1"/>
          <w:numId w:val="1"/>
        </w:numPr>
        <w:spacing w:line="276" w:lineRule="auto"/>
        <w:jc w:val="both"/>
        <w:rPr>
          <w:rFonts w:ascii="Times New Roman" w:hAnsi="Times New Roman"/>
          <w:sz w:val="22"/>
          <w:szCs w:val="22"/>
        </w:rPr>
      </w:pPr>
      <w:r w:rsidRPr="00886BC7">
        <w:rPr>
          <w:rFonts w:ascii="Times New Roman" w:hAnsi="Times New Roman"/>
          <w:sz w:val="22"/>
          <w:szCs w:val="22"/>
        </w:rPr>
        <w:t>Any media entity who wishes to receive notice of the application/motion is required to advise the trial coordinator of the court, on an annual basis, of their contact information.  Notice shall be provided by the court via email unless another method is specifically requested by the media entity and approved by the court.</w:t>
      </w:r>
    </w:p>
    <w:p w14:paraId="47750239" w14:textId="77777777" w:rsidR="009A42C0" w:rsidRPr="00886BC7" w:rsidRDefault="009A42C0" w:rsidP="009A42C0">
      <w:pPr>
        <w:pStyle w:val="ListParagraph"/>
        <w:spacing w:line="276" w:lineRule="auto"/>
        <w:ind w:left="1440"/>
        <w:jc w:val="both"/>
        <w:rPr>
          <w:rFonts w:ascii="Times New Roman" w:hAnsi="Times New Roman"/>
          <w:sz w:val="22"/>
          <w:szCs w:val="22"/>
        </w:rPr>
      </w:pPr>
    </w:p>
    <w:p w14:paraId="6EE32178" w14:textId="77777777" w:rsidR="009A42C0" w:rsidRPr="00886BC7" w:rsidRDefault="009A42C0" w:rsidP="009A42C0">
      <w:pPr>
        <w:pStyle w:val="ListParagraph"/>
        <w:numPr>
          <w:ilvl w:val="1"/>
          <w:numId w:val="1"/>
        </w:numPr>
        <w:spacing w:line="276" w:lineRule="auto"/>
        <w:jc w:val="both"/>
        <w:rPr>
          <w:rFonts w:ascii="Times New Roman" w:hAnsi="Times New Roman"/>
          <w:sz w:val="22"/>
          <w:szCs w:val="22"/>
        </w:rPr>
      </w:pPr>
      <w:r w:rsidRPr="00886BC7">
        <w:rPr>
          <w:rFonts w:ascii="Times New Roman" w:hAnsi="Times New Roman"/>
          <w:sz w:val="22"/>
          <w:szCs w:val="22"/>
        </w:rPr>
        <w:t>The party seeking the discretionary publication ban, sealing order, restricted access order or confidentiality order shall contact the trial coordinator of the court, who will advise the party of the list of media entities that have requested notice.</w:t>
      </w:r>
    </w:p>
    <w:p w14:paraId="1A87E47E" w14:textId="77777777" w:rsidR="009A42C0" w:rsidRPr="00886BC7" w:rsidRDefault="009A42C0" w:rsidP="009A42C0">
      <w:pPr>
        <w:pStyle w:val="ListParagraph"/>
        <w:rPr>
          <w:rFonts w:ascii="Times New Roman" w:hAnsi="Times New Roman"/>
          <w:sz w:val="22"/>
          <w:szCs w:val="22"/>
        </w:rPr>
      </w:pPr>
    </w:p>
    <w:p w14:paraId="6A557ED4" w14:textId="77777777" w:rsidR="009A42C0" w:rsidRPr="00886BC7" w:rsidRDefault="009A42C0" w:rsidP="009A42C0">
      <w:pPr>
        <w:pStyle w:val="ListParagraph"/>
        <w:numPr>
          <w:ilvl w:val="1"/>
          <w:numId w:val="1"/>
        </w:numPr>
        <w:spacing w:line="276" w:lineRule="auto"/>
        <w:jc w:val="both"/>
        <w:rPr>
          <w:rFonts w:ascii="Times New Roman" w:hAnsi="Times New Roman"/>
          <w:sz w:val="22"/>
          <w:szCs w:val="22"/>
        </w:rPr>
      </w:pPr>
      <w:r w:rsidRPr="00886BC7">
        <w:rPr>
          <w:rFonts w:ascii="Times New Roman" w:hAnsi="Times New Roman"/>
          <w:sz w:val="22"/>
          <w:szCs w:val="22"/>
        </w:rPr>
        <w:t>All media entities that have provided their contact information to the court in advance will be given notice of the party’s application/motion for a discretionary publication ban, sealing order, restricted access order or confidentiality order.</w:t>
      </w:r>
    </w:p>
    <w:p w14:paraId="6CEF68AC" w14:textId="77777777" w:rsidR="009A42C0" w:rsidRPr="00886BC7" w:rsidRDefault="009A42C0" w:rsidP="009A42C0">
      <w:pPr>
        <w:pStyle w:val="ListParagraph"/>
        <w:rPr>
          <w:rFonts w:ascii="Times New Roman" w:hAnsi="Times New Roman"/>
          <w:sz w:val="22"/>
          <w:szCs w:val="22"/>
        </w:rPr>
      </w:pPr>
    </w:p>
    <w:p w14:paraId="378F90A3" w14:textId="77777777" w:rsidR="009A42C0" w:rsidRPr="00886BC7" w:rsidRDefault="009A42C0" w:rsidP="009A42C0">
      <w:pPr>
        <w:pStyle w:val="ListParagraph"/>
        <w:numPr>
          <w:ilvl w:val="1"/>
          <w:numId w:val="1"/>
        </w:numPr>
        <w:spacing w:line="276" w:lineRule="auto"/>
        <w:jc w:val="both"/>
        <w:rPr>
          <w:rFonts w:ascii="Times New Roman" w:hAnsi="Times New Roman"/>
          <w:sz w:val="22"/>
          <w:szCs w:val="22"/>
        </w:rPr>
      </w:pPr>
      <w:r w:rsidRPr="00886BC7">
        <w:rPr>
          <w:rFonts w:ascii="Times New Roman" w:hAnsi="Times New Roman"/>
          <w:sz w:val="22"/>
          <w:szCs w:val="22"/>
        </w:rPr>
        <w:t xml:space="preserve">Each media entity will be given the same notice of the application/motion as prescribed to be given to a respondent (opposing party or parties) under the </w:t>
      </w:r>
      <w:r w:rsidRPr="000753DF">
        <w:rPr>
          <w:rFonts w:ascii="Times New Roman" w:hAnsi="Times New Roman"/>
          <w:i/>
          <w:sz w:val="22"/>
          <w:szCs w:val="22"/>
        </w:rPr>
        <w:t>Rules of Civil Procedure</w:t>
      </w:r>
      <w:r w:rsidRPr="00886BC7">
        <w:rPr>
          <w:rFonts w:ascii="Times New Roman" w:hAnsi="Times New Roman"/>
          <w:sz w:val="22"/>
          <w:szCs w:val="22"/>
        </w:rPr>
        <w:t xml:space="preserve">. The notice from the court will include:  </w:t>
      </w:r>
    </w:p>
    <w:p w14:paraId="19AC8453" w14:textId="77777777" w:rsidR="009A42C0" w:rsidRPr="00886BC7" w:rsidRDefault="009A42C0" w:rsidP="009A42C0">
      <w:pPr>
        <w:pStyle w:val="ListParagraph"/>
        <w:rPr>
          <w:rFonts w:ascii="Times New Roman" w:hAnsi="Times New Roman"/>
          <w:sz w:val="22"/>
          <w:szCs w:val="22"/>
        </w:rPr>
      </w:pPr>
    </w:p>
    <w:p w14:paraId="0A5D2618" w14:textId="77777777" w:rsidR="009A42C0" w:rsidRPr="00886BC7" w:rsidRDefault="009A42C0" w:rsidP="009A42C0">
      <w:pPr>
        <w:pStyle w:val="ListParagraph"/>
        <w:numPr>
          <w:ilvl w:val="2"/>
          <w:numId w:val="1"/>
        </w:numPr>
        <w:spacing w:line="276" w:lineRule="auto"/>
        <w:jc w:val="both"/>
        <w:rPr>
          <w:rFonts w:ascii="Times New Roman" w:hAnsi="Times New Roman"/>
          <w:sz w:val="22"/>
          <w:szCs w:val="22"/>
        </w:rPr>
      </w:pPr>
      <w:r w:rsidRPr="00886BC7">
        <w:rPr>
          <w:rFonts w:ascii="Times New Roman" w:hAnsi="Times New Roman"/>
          <w:sz w:val="22"/>
          <w:szCs w:val="22"/>
        </w:rPr>
        <w:t xml:space="preserve">details of the order </w:t>
      </w:r>
      <w:proofErr w:type="gramStart"/>
      <w:r w:rsidRPr="00886BC7">
        <w:rPr>
          <w:rFonts w:ascii="Times New Roman" w:hAnsi="Times New Roman"/>
          <w:sz w:val="22"/>
          <w:szCs w:val="22"/>
        </w:rPr>
        <w:t>sought;</w:t>
      </w:r>
      <w:proofErr w:type="gramEnd"/>
      <w:r w:rsidRPr="00886BC7">
        <w:rPr>
          <w:rFonts w:ascii="Times New Roman" w:hAnsi="Times New Roman"/>
          <w:sz w:val="22"/>
          <w:szCs w:val="22"/>
        </w:rPr>
        <w:t xml:space="preserve"> </w:t>
      </w:r>
    </w:p>
    <w:p w14:paraId="328B1434" w14:textId="77777777" w:rsidR="009A42C0" w:rsidRPr="00886BC7" w:rsidRDefault="009A42C0" w:rsidP="009A42C0">
      <w:pPr>
        <w:pStyle w:val="ListParagraph"/>
        <w:numPr>
          <w:ilvl w:val="2"/>
          <w:numId w:val="1"/>
        </w:numPr>
        <w:spacing w:line="276" w:lineRule="auto"/>
        <w:jc w:val="both"/>
        <w:rPr>
          <w:rFonts w:ascii="Times New Roman" w:hAnsi="Times New Roman"/>
          <w:sz w:val="22"/>
          <w:szCs w:val="22"/>
        </w:rPr>
      </w:pPr>
      <w:r w:rsidRPr="00886BC7">
        <w:rPr>
          <w:rFonts w:ascii="Times New Roman" w:hAnsi="Times New Roman"/>
          <w:sz w:val="22"/>
          <w:szCs w:val="22"/>
        </w:rPr>
        <w:t xml:space="preserve">the time and place of the </w:t>
      </w:r>
      <w:proofErr w:type="gramStart"/>
      <w:r w:rsidRPr="00886BC7">
        <w:rPr>
          <w:rFonts w:ascii="Times New Roman" w:hAnsi="Times New Roman"/>
          <w:sz w:val="22"/>
          <w:szCs w:val="22"/>
        </w:rPr>
        <w:t>hearing;</w:t>
      </w:r>
      <w:proofErr w:type="gramEnd"/>
      <w:r w:rsidRPr="00886BC7">
        <w:rPr>
          <w:rFonts w:ascii="Times New Roman" w:hAnsi="Times New Roman"/>
          <w:sz w:val="22"/>
          <w:szCs w:val="22"/>
        </w:rPr>
        <w:t xml:space="preserve"> </w:t>
      </w:r>
    </w:p>
    <w:p w14:paraId="1C92CC2F" w14:textId="77777777" w:rsidR="009A42C0" w:rsidRPr="00886BC7" w:rsidRDefault="009A42C0" w:rsidP="009A42C0">
      <w:pPr>
        <w:pStyle w:val="ListParagraph"/>
        <w:numPr>
          <w:ilvl w:val="2"/>
          <w:numId w:val="1"/>
        </w:numPr>
        <w:spacing w:line="276" w:lineRule="auto"/>
        <w:jc w:val="both"/>
        <w:rPr>
          <w:rFonts w:ascii="Times New Roman" w:hAnsi="Times New Roman"/>
          <w:sz w:val="22"/>
          <w:szCs w:val="22"/>
        </w:rPr>
      </w:pPr>
      <w:r w:rsidRPr="00886BC7">
        <w:rPr>
          <w:rFonts w:ascii="Times New Roman" w:hAnsi="Times New Roman"/>
          <w:sz w:val="22"/>
          <w:szCs w:val="22"/>
        </w:rPr>
        <w:t xml:space="preserve">the text of any interim orders which may have been granted; and </w:t>
      </w:r>
    </w:p>
    <w:p w14:paraId="46AFF0E1" w14:textId="77777777" w:rsidR="009A42C0" w:rsidRPr="00886BC7" w:rsidRDefault="009A42C0" w:rsidP="009A42C0">
      <w:pPr>
        <w:pStyle w:val="ListParagraph"/>
        <w:numPr>
          <w:ilvl w:val="2"/>
          <w:numId w:val="1"/>
        </w:numPr>
        <w:spacing w:line="276" w:lineRule="auto"/>
        <w:jc w:val="both"/>
        <w:rPr>
          <w:rFonts w:ascii="Times New Roman" w:hAnsi="Times New Roman"/>
          <w:sz w:val="22"/>
          <w:szCs w:val="22"/>
        </w:rPr>
      </w:pPr>
      <w:r w:rsidRPr="00886BC7">
        <w:rPr>
          <w:rFonts w:ascii="Times New Roman" w:hAnsi="Times New Roman"/>
          <w:sz w:val="22"/>
          <w:szCs w:val="22"/>
        </w:rPr>
        <w:t xml:space="preserve">contact information of </w:t>
      </w:r>
      <w:r>
        <w:rPr>
          <w:rFonts w:ascii="Times New Roman" w:hAnsi="Times New Roman"/>
          <w:sz w:val="22"/>
          <w:szCs w:val="22"/>
        </w:rPr>
        <w:t>the lawyer</w:t>
      </w:r>
      <w:r w:rsidRPr="00886BC7">
        <w:rPr>
          <w:rFonts w:ascii="Times New Roman" w:hAnsi="Times New Roman"/>
          <w:sz w:val="22"/>
          <w:szCs w:val="22"/>
        </w:rPr>
        <w:t xml:space="preserve"> for the party seeking the order.  If the party seeking the order is not represented by </w:t>
      </w:r>
      <w:r>
        <w:rPr>
          <w:rFonts w:ascii="Times New Roman" w:hAnsi="Times New Roman"/>
          <w:sz w:val="22"/>
          <w:szCs w:val="22"/>
        </w:rPr>
        <w:t>a lawyer</w:t>
      </w:r>
      <w:r w:rsidRPr="00886BC7">
        <w:rPr>
          <w:rFonts w:ascii="Times New Roman" w:hAnsi="Times New Roman"/>
          <w:sz w:val="22"/>
          <w:szCs w:val="22"/>
        </w:rPr>
        <w:t xml:space="preserve">, the notice will provide </w:t>
      </w:r>
      <w:proofErr w:type="gramStart"/>
      <w:r w:rsidRPr="00886BC7">
        <w:rPr>
          <w:rFonts w:ascii="Times New Roman" w:hAnsi="Times New Roman"/>
          <w:sz w:val="22"/>
          <w:szCs w:val="22"/>
        </w:rPr>
        <w:t>the contact</w:t>
      </w:r>
      <w:proofErr w:type="gramEnd"/>
      <w:r w:rsidRPr="00886BC7">
        <w:rPr>
          <w:rFonts w:ascii="Times New Roman" w:hAnsi="Times New Roman"/>
          <w:sz w:val="22"/>
          <w:szCs w:val="22"/>
        </w:rPr>
        <w:t xml:space="preserve"> information </w:t>
      </w:r>
      <w:proofErr w:type="gramStart"/>
      <w:r w:rsidRPr="00886BC7">
        <w:rPr>
          <w:rFonts w:ascii="Times New Roman" w:hAnsi="Times New Roman"/>
          <w:sz w:val="22"/>
          <w:szCs w:val="22"/>
        </w:rPr>
        <w:t>of</w:t>
      </w:r>
      <w:proofErr w:type="gramEnd"/>
      <w:r w:rsidRPr="00886BC7">
        <w:rPr>
          <w:rFonts w:ascii="Times New Roman" w:hAnsi="Times New Roman"/>
          <w:sz w:val="22"/>
          <w:szCs w:val="22"/>
        </w:rPr>
        <w:t xml:space="preserve"> the party.</w:t>
      </w:r>
    </w:p>
    <w:p w14:paraId="66B8BE5A" w14:textId="77777777" w:rsidR="009A42C0" w:rsidRPr="00886BC7" w:rsidRDefault="009A42C0" w:rsidP="009A42C0">
      <w:pPr>
        <w:pStyle w:val="ListParagraph"/>
        <w:spacing w:line="276" w:lineRule="auto"/>
        <w:jc w:val="both"/>
        <w:rPr>
          <w:rFonts w:ascii="Times New Roman" w:hAnsi="Times New Roman"/>
          <w:sz w:val="22"/>
          <w:szCs w:val="22"/>
        </w:rPr>
      </w:pPr>
    </w:p>
    <w:p w14:paraId="586B81FF" w14:textId="77777777" w:rsidR="009A42C0" w:rsidRPr="00886BC7" w:rsidRDefault="009A42C0" w:rsidP="009A42C0">
      <w:pPr>
        <w:pStyle w:val="ListParagraph"/>
        <w:widowControl/>
        <w:numPr>
          <w:ilvl w:val="1"/>
          <w:numId w:val="1"/>
        </w:numPr>
        <w:autoSpaceDE/>
        <w:autoSpaceDN/>
        <w:adjustRightInd/>
        <w:spacing w:line="276" w:lineRule="auto"/>
        <w:jc w:val="both"/>
        <w:rPr>
          <w:rFonts w:ascii="Times New Roman" w:hAnsi="Times New Roman"/>
          <w:sz w:val="22"/>
          <w:szCs w:val="22"/>
        </w:rPr>
      </w:pPr>
      <w:r w:rsidRPr="00886BC7">
        <w:rPr>
          <w:rFonts w:ascii="Times New Roman" w:hAnsi="Times New Roman"/>
          <w:sz w:val="22"/>
          <w:szCs w:val="22"/>
        </w:rPr>
        <w:t>The presiding judge has discretion to determine the issue of standing of any media entity requesting to make representations on the application/motion.</w:t>
      </w:r>
    </w:p>
    <w:p w14:paraId="2F6704C8" w14:textId="77777777" w:rsidR="009A42C0" w:rsidRPr="00886BC7" w:rsidRDefault="009A42C0" w:rsidP="009A42C0">
      <w:pPr>
        <w:pStyle w:val="ListParagraph"/>
        <w:widowControl/>
        <w:autoSpaceDE/>
        <w:autoSpaceDN/>
        <w:adjustRightInd/>
        <w:spacing w:line="276" w:lineRule="auto"/>
        <w:ind w:left="1440"/>
        <w:jc w:val="both"/>
        <w:rPr>
          <w:rFonts w:ascii="Times New Roman" w:hAnsi="Times New Roman"/>
          <w:sz w:val="22"/>
          <w:szCs w:val="22"/>
        </w:rPr>
      </w:pPr>
    </w:p>
    <w:p w14:paraId="1E2F2AC6" w14:textId="77777777" w:rsidR="009A42C0" w:rsidRPr="00886BC7" w:rsidRDefault="009A42C0" w:rsidP="009A42C0">
      <w:pPr>
        <w:pStyle w:val="ListParagraph"/>
        <w:widowControl/>
        <w:numPr>
          <w:ilvl w:val="0"/>
          <w:numId w:val="1"/>
        </w:numPr>
        <w:autoSpaceDE/>
        <w:autoSpaceDN/>
        <w:adjustRightInd/>
        <w:spacing w:line="276" w:lineRule="auto"/>
        <w:jc w:val="both"/>
        <w:rPr>
          <w:rFonts w:ascii="Times New Roman" w:hAnsi="Times New Roman"/>
          <w:sz w:val="22"/>
          <w:szCs w:val="22"/>
        </w:rPr>
      </w:pPr>
      <w:r w:rsidRPr="00886BC7">
        <w:rPr>
          <w:rFonts w:ascii="Times New Roman" w:hAnsi="Times New Roman"/>
          <w:sz w:val="22"/>
          <w:szCs w:val="22"/>
        </w:rPr>
        <w:t xml:space="preserve">The court may dispense with compliance with this </w:t>
      </w:r>
      <w:r>
        <w:rPr>
          <w:rFonts w:ascii="Times New Roman" w:hAnsi="Times New Roman"/>
          <w:sz w:val="22"/>
          <w:szCs w:val="22"/>
        </w:rPr>
        <w:t>Practice Direction</w:t>
      </w:r>
      <w:r w:rsidRPr="00886BC7">
        <w:rPr>
          <w:rFonts w:ascii="Times New Roman" w:hAnsi="Times New Roman"/>
          <w:sz w:val="22"/>
          <w:szCs w:val="22"/>
        </w:rPr>
        <w:t xml:space="preserve"> in appropriate circumstances, including in recognition of the settlement privilege exception to the open court principle, as set out in </w:t>
      </w:r>
      <w:r w:rsidRPr="0064157D">
        <w:rPr>
          <w:rFonts w:ascii="Times New Roman" w:hAnsi="Times New Roman"/>
          <w:i/>
          <w:iCs/>
          <w:sz w:val="22"/>
          <w:szCs w:val="22"/>
        </w:rPr>
        <w:t xml:space="preserve">Sable Offshore Energy Inc. v </w:t>
      </w:r>
      <w:proofErr w:type="spellStart"/>
      <w:r w:rsidRPr="0064157D">
        <w:rPr>
          <w:rFonts w:ascii="Times New Roman" w:hAnsi="Times New Roman"/>
          <w:i/>
          <w:iCs/>
          <w:sz w:val="22"/>
          <w:szCs w:val="22"/>
        </w:rPr>
        <w:t>Ameron</w:t>
      </w:r>
      <w:proofErr w:type="spellEnd"/>
      <w:r w:rsidRPr="0064157D">
        <w:rPr>
          <w:rFonts w:ascii="Times New Roman" w:hAnsi="Times New Roman"/>
          <w:i/>
          <w:iCs/>
          <w:sz w:val="22"/>
          <w:szCs w:val="22"/>
        </w:rPr>
        <w:t xml:space="preserve"> International Corp.</w:t>
      </w:r>
      <w:r w:rsidRPr="0064157D">
        <w:rPr>
          <w:rFonts w:ascii="Times New Roman" w:hAnsi="Times New Roman"/>
          <w:sz w:val="22"/>
          <w:szCs w:val="22"/>
        </w:rPr>
        <w:t>,</w:t>
      </w:r>
      <w:r w:rsidRPr="00886BC7">
        <w:rPr>
          <w:rFonts w:ascii="Times New Roman" w:hAnsi="Times New Roman"/>
          <w:sz w:val="22"/>
          <w:szCs w:val="22"/>
        </w:rPr>
        <w:t xml:space="preserve"> 2013 SCC 37.</w:t>
      </w:r>
    </w:p>
    <w:p w14:paraId="1288B7AA" w14:textId="77777777" w:rsidR="009A42C0" w:rsidRPr="00886BC7" w:rsidRDefault="009A42C0" w:rsidP="009A42C0">
      <w:pPr>
        <w:spacing w:line="276" w:lineRule="auto"/>
        <w:jc w:val="both"/>
        <w:rPr>
          <w:rFonts w:ascii="Times New Roman" w:hAnsi="Times New Roman"/>
          <w:sz w:val="22"/>
          <w:szCs w:val="22"/>
        </w:rPr>
      </w:pPr>
    </w:p>
    <w:p w14:paraId="55C8FF7B" w14:textId="39E57E24" w:rsidR="00ED1BFF" w:rsidRPr="009A42C0" w:rsidRDefault="009A42C0" w:rsidP="009A42C0">
      <w:pPr>
        <w:spacing w:line="276" w:lineRule="auto"/>
        <w:jc w:val="both"/>
        <w:rPr>
          <w:rFonts w:ascii="Times New Roman" w:hAnsi="Times New Roman"/>
          <w:i/>
          <w:iCs/>
          <w:sz w:val="22"/>
          <w:szCs w:val="22"/>
        </w:rPr>
      </w:pPr>
      <w:r w:rsidRPr="00886BC7">
        <w:rPr>
          <w:rFonts w:ascii="Times New Roman" w:hAnsi="Times New Roman"/>
          <w:sz w:val="22"/>
          <w:szCs w:val="22"/>
        </w:rPr>
        <w:tab/>
      </w:r>
      <w:r w:rsidRPr="00886BC7">
        <w:rPr>
          <w:rFonts w:ascii="Times New Roman" w:hAnsi="Times New Roman"/>
          <w:sz w:val="22"/>
          <w:szCs w:val="22"/>
        </w:rPr>
        <w:tab/>
      </w:r>
      <w:r w:rsidRPr="00886BC7">
        <w:rPr>
          <w:rFonts w:ascii="Times New Roman" w:hAnsi="Times New Roman"/>
          <w:sz w:val="22"/>
          <w:szCs w:val="22"/>
        </w:rPr>
        <w:tab/>
      </w:r>
      <w:r w:rsidRPr="00495E59">
        <w:rPr>
          <w:rFonts w:ascii="Times New Roman" w:hAnsi="Times New Roman"/>
          <w:i/>
          <w:iCs/>
          <w:sz w:val="22"/>
          <w:szCs w:val="22"/>
        </w:rPr>
        <w:t>original September 22, 2005</w:t>
      </w:r>
      <w:r>
        <w:rPr>
          <w:rFonts w:ascii="Times New Roman" w:hAnsi="Times New Roman"/>
          <w:i/>
          <w:iCs/>
          <w:sz w:val="22"/>
          <w:szCs w:val="22"/>
        </w:rPr>
        <w:t>;</w:t>
      </w:r>
      <w:r w:rsidRPr="00495E59">
        <w:rPr>
          <w:rFonts w:ascii="Times New Roman" w:hAnsi="Times New Roman"/>
          <w:i/>
          <w:iCs/>
          <w:sz w:val="22"/>
          <w:szCs w:val="22"/>
        </w:rPr>
        <w:t xml:space="preserve"> amended July 27, 2021, April 1, 2022</w:t>
      </w:r>
    </w:p>
    <w:sectPr w:rsidR="00ED1BFF" w:rsidRPr="009A4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Omega">
    <w:panose1 w:val="020B0502050508020304"/>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D2D85"/>
    <w:multiLevelType w:val="hybridMultilevel"/>
    <w:tmpl w:val="5AA4B49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36969CEA">
      <w:start w:val="1"/>
      <w:numFmt w:val="lowerRoman"/>
      <w:lvlText w:val="(%3)"/>
      <w:lvlJc w:val="right"/>
      <w:pPr>
        <w:ind w:left="2340" w:hanging="360"/>
      </w:pPr>
      <w:rPr>
        <w:rFonts w:ascii="Times New Roman" w:eastAsia="Times New Roman" w:hAnsi="Times New Roman" w:cs="Times New Roman"/>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2982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C0"/>
    <w:rsid w:val="000824AF"/>
    <w:rsid w:val="003E4C92"/>
    <w:rsid w:val="00424F8B"/>
    <w:rsid w:val="004C60FA"/>
    <w:rsid w:val="008D7D56"/>
    <w:rsid w:val="009230C7"/>
    <w:rsid w:val="009A42C0"/>
    <w:rsid w:val="009F7CD3"/>
    <w:rsid w:val="00B42811"/>
    <w:rsid w:val="00E864A0"/>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71C0"/>
  <w15:chartTrackingRefBased/>
  <w15:docId w15:val="{6357AC99-BD49-43A5-B70C-82C9359B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2C0"/>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uiPriority w:val="9"/>
    <w:qFormat/>
    <w:rsid w:val="009A42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2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2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2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A42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A42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A42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A42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A42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2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2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2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2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A42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A42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A42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A42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A42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A42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2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2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2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A42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42C0"/>
    <w:rPr>
      <w:i/>
      <w:iCs/>
      <w:color w:val="404040" w:themeColor="text1" w:themeTint="BF"/>
    </w:rPr>
  </w:style>
  <w:style w:type="paragraph" w:styleId="ListParagraph">
    <w:name w:val="List Paragraph"/>
    <w:basedOn w:val="Normal"/>
    <w:uiPriority w:val="34"/>
    <w:qFormat/>
    <w:rsid w:val="009A42C0"/>
    <w:pPr>
      <w:ind w:left="720"/>
      <w:contextualSpacing/>
    </w:pPr>
  </w:style>
  <w:style w:type="character" w:styleId="IntenseEmphasis">
    <w:name w:val="Intense Emphasis"/>
    <w:basedOn w:val="DefaultParagraphFont"/>
    <w:uiPriority w:val="21"/>
    <w:qFormat/>
    <w:rsid w:val="009A42C0"/>
    <w:rPr>
      <w:i/>
      <w:iCs/>
      <w:color w:val="0F4761" w:themeColor="accent1" w:themeShade="BF"/>
    </w:rPr>
  </w:style>
  <w:style w:type="paragraph" w:styleId="IntenseQuote">
    <w:name w:val="Intense Quote"/>
    <w:basedOn w:val="Normal"/>
    <w:next w:val="Normal"/>
    <w:link w:val="IntenseQuoteChar"/>
    <w:uiPriority w:val="30"/>
    <w:qFormat/>
    <w:rsid w:val="009A4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2C0"/>
    <w:rPr>
      <w:i/>
      <w:iCs/>
      <w:color w:val="0F4761" w:themeColor="accent1" w:themeShade="BF"/>
    </w:rPr>
  </w:style>
  <w:style w:type="character" w:styleId="IntenseReference">
    <w:name w:val="Intense Reference"/>
    <w:basedOn w:val="DefaultParagraphFont"/>
    <w:uiPriority w:val="32"/>
    <w:qFormat/>
    <w:rsid w:val="009A42C0"/>
    <w:rPr>
      <w:b/>
      <w:bCs/>
      <w:smallCaps/>
      <w:color w:val="0F4761" w:themeColor="accent1" w:themeShade="BF"/>
      <w:spacing w:val="5"/>
    </w:rPr>
  </w:style>
  <w:style w:type="paragraph" w:styleId="BodyText">
    <w:name w:val="Body Text"/>
    <w:basedOn w:val="Normal"/>
    <w:link w:val="BodyTextChar"/>
    <w:uiPriority w:val="99"/>
    <w:unhideWhenUsed/>
    <w:rsid w:val="009A42C0"/>
    <w:pPr>
      <w:spacing w:after="120"/>
    </w:pPr>
  </w:style>
  <w:style w:type="character" w:customStyle="1" w:styleId="BodyTextChar">
    <w:name w:val="Body Text Char"/>
    <w:basedOn w:val="DefaultParagraphFont"/>
    <w:link w:val="BodyText"/>
    <w:uiPriority w:val="99"/>
    <w:rsid w:val="009A42C0"/>
    <w:rPr>
      <w:rFonts w:ascii="CG Omega" w:eastAsia="Times New Roman" w:hAnsi="CG Omega"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2281</Characters>
  <Application>Microsoft Office Word</Application>
  <DocSecurity>0</DocSecurity>
  <Lines>19</Lines>
  <Paragraphs>5</Paragraphs>
  <ScaleCrop>false</ScaleCrop>
  <Company>ITSS</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Heather Watts</cp:lastModifiedBy>
  <cp:revision>1</cp:revision>
  <dcterms:created xsi:type="dcterms:W3CDTF">2025-08-21T17:52:00Z</dcterms:created>
  <dcterms:modified xsi:type="dcterms:W3CDTF">2025-08-21T17:53:00Z</dcterms:modified>
</cp:coreProperties>
</file>