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22CE" w14:textId="77777777" w:rsidR="008507A5" w:rsidRPr="002E669E" w:rsidRDefault="008507A5" w:rsidP="008507A5">
      <w:pPr>
        <w:widowControl/>
        <w:autoSpaceDE/>
        <w:autoSpaceDN/>
        <w:adjustRightInd/>
        <w:spacing w:after="200" w:line="276" w:lineRule="auto"/>
        <w:jc w:val="center"/>
        <w:rPr>
          <w:rFonts w:ascii="Times New Roman" w:hAnsi="Times New Roman"/>
          <w:b/>
          <w:bCs/>
          <w:sz w:val="22"/>
          <w:szCs w:val="22"/>
          <w:u w:val="single"/>
        </w:rPr>
      </w:pPr>
      <w:bookmarkStart w:id="0" w:name="_Hlk200976379"/>
      <w:r w:rsidRPr="002E669E">
        <w:rPr>
          <w:rFonts w:ascii="Times New Roman" w:hAnsi="Times New Roman"/>
          <w:b/>
          <w:bCs/>
          <w:sz w:val="22"/>
          <w:szCs w:val="22"/>
          <w:u w:val="single"/>
        </w:rPr>
        <w:t>PART VII – ESTATES AND TRUSTS</w:t>
      </w:r>
      <w:bookmarkEnd w:id="0"/>
    </w:p>
    <w:p w14:paraId="316EED96" w14:textId="77777777" w:rsidR="008507A5" w:rsidRPr="004C4496" w:rsidRDefault="008507A5" w:rsidP="008507A5">
      <w:pPr>
        <w:spacing w:line="276" w:lineRule="auto"/>
        <w:jc w:val="both"/>
        <w:rPr>
          <w:rFonts w:ascii="Times New Roman" w:hAnsi="Times New Roman"/>
          <w:b/>
          <w:bCs/>
          <w:sz w:val="22"/>
          <w:szCs w:val="22"/>
        </w:rPr>
      </w:pPr>
    </w:p>
    <w:p w14:paraId="079D688A" w14:textId="77777777" w:rsidR="008507A5" w:rsidRPr="00886BC7" w:rsidRDefault="008507A5" w:rsidP="008507A5">
      <w:pPr>
        <w:pStyle w:val="PRACTICETITLE"/>
        <w:numPr>
          <w:ilvl w:val="0"/>
          <w:numId w:val="1"/>
        </w:numPr>
        <w:spacing w:line="276" w:lineRule="auto"/>
        <w:jc w:val="left"/>
        <w:rPr>
          <w:b w:val="0"/>
          <w:bCs/>
          <w:sz w:val="22"/>
          <w:szCs w:val="22"/>
          <w:u w:val="single"/>
        </w:rPr>
      </w:pPr>
      <w:r w:rsidRPr="00886BC7">
        <w:rPr>
          <w:b w:val="0"/>
          <w:bCs/>
          <w:sz w:val="22"/>
          <w:szCs w:val="22"/>
          <w:u w:val="single"/>
        </w:rPr>
        <w:t>General</w:t>
      </w:r>
    </w:p>
    <w:p w14:paraId="3CC02FD4" w14:textId="77777777" w:rsidR="008507A5" w:rsidRPr="00886BC7" w:rsidRDefault="008507A5" w:rsidP="008507A5">
      <w:pPr>
        <w:pStyle w:val="PRACTICETITLE"/>
        <w:spacing w:line="276" w:lineRule="auto"/>
        <w:ind w:left="720"/>
        <w:jc w:val="left"/>
        <w:rPr>
          <w:b w:val="0"/>
          <w:bCs/>
          <w:sz w:val="22"/>
          <w:szCs w:val="22"/>
          <w:u w:val="single"/>
        </w:rPr>
      </w:pPr>
    </w:p>
    <w:p w14:paraId="33F7AC9C" w14:textId="77777777" w:rsidR="008507A5" w:rsidRPr="00886BC7" w:rsidRDefault="008507A5" w:rsidP="008507A5">
      <w:pPr>
        <w:pStyle w:val="PRACTICETITLE"/>
        <w:numPr>
          <w:ilvl w:val="1"/>
          <w:numId w:val="1"/>
        </w:numPr>
        <w:spacing w:line="276" w:lineRule="auto"/>
        <w:jc w:val="left"/>
        <w:rPr>
          <w:b w:val="0"/>
          <w:bCs/>
          <w:sz w:val="22"/>
          <w:szCs w:val="22"/>
          <w:u w:val="single"/>
        </w:rPr>
      </w:pPr>
      <w:r w:rsidRPr="00886BC7">
        <w:rPr>
          <w:b w:val="0"/>
          <w:bCs/>
          <w:sz w:val="22"/>
          <w:szCs w:val="22"/>
        </w:rPr>
        <w:t xml:space="preserve">Once a </w:t>
      </w:r>
      <w:r>
        <w:rPr>
          <w:b w:val="0"/>
          <w:bCs/>
          <w:sz w:val="22"/>
          <w:szCs w:val="22"/>
        </w:rPr>
        <w:t>g</w:t>
      </w:r>
      <w:r w:rsidRPr="00886BC7">
        <w:rPr>
          <w:b w:val="0"/>
          <w:bCs/>
          <w:sz w:val="22"/>
          <w:szCs w:val="22"/>
        </w:rPr>
        <w:t xml:space="preserve">rant of </w:t>
      </w:r>
      <w:r>
        <w:rPr>
          <w:b w:val="0"/>
          <w:bCs/>
          <w:sz w:val="22"/>
          <w:szCs w:val="22"/>
        </w:rPr>
        <w:t>p</w:t>
      </w:r>
      <w:r w:rsidRPr="00886BC7">
        <w:rPr>
          <w:b w:val="0"/>
          <w:bCs/>
          <w:sz w:val="22"/>
          <w:szCs w:val="22"/>
        </w:rPr>
        <w:t xml:space="preserve">robate or </w:t>
      </w:r>
      <w:r>
        <w:rPr>
          <w:b w:val="0"/>
          <w:bCs/>
          <w:sz w:val="22"/>
          <w:szCs w:val="22"/>
        </w:rPr>
        <w:t>a</w:t>
      </w:r>
      <w:r w:rsidRPr="00886BC7">
        <w:rPr>
          <w:b w:val="0"/>
          <w:bCs/>
          <w:sz w:val="22"/>
          <w:szCs w:val="22"/>
        </w:rPr>
        <w:t>dministration is issued by the court, s</w:t>
      </w:r>
      <w:r>
        <w:rPr>
          <w:b w:val="0"/>
          <w:bCs/>
          <w:sz w:val="22"/>
          <w:szCs w:val="22"/>
        </w:rPr>
        <w:t>.</w:t>
      </w:r>
      <w:r w:rsidRPr="00886BC7">
        <w:rPr>
          <w:b w:val="0"/>
          <w:bCs/>
          <w:sz w:val="22"/>
          <w:szCs w:val="22"/>
        </w:rPr>
        <w:t xml:space="preserve"> 47 of the </w:t>
      </w:r>
      <w:r w:rsidRPr="00886BC7">
        <w:rPr>
          <w:b w:val="0"/>
          <w:bCs/>
          <w:i/>
          <w:iCs/>
          <w:sz w:val="22"/>
          <w:szCs w:val="22"/>
        </w:rPr>
        <w:t xml:space="preserve">Probate Act, </w:t>
      </w:r>
      <w:r w:rsidRPr="00EF0749">
        <w:rPr>
          <w:b w:val="0"/>
          <w:bCs/>
          <w:sz w:val="22"/>
          <w:szCs w:val="22"/>
        </w:rPr>
        <w:t xml:space="preserve">RSPEI 1988, </w:t>
      </w:r>
      <w:r>
        <w:rPr>
          <w:b w:val="0"/>
          <w:bCs/>
          <w:sz w:val="22"/>
          <w:szCs w:val="22"/>
        </w:rPr>
        <w:t>Cap.</w:t>
      </w:r>
      <w:r w:rsidRPr="00EF0749">
        <w:rPr>
          <w:b w:val="0"/>
          <w:bCs/>
          <w:sz w:val="22"/>
          <w:szCs w:val="22"/>
        </w:rPr>
        <w:t xml:space="preserve"> P-21</w:t>
      </w:r>
      <w:r>
        <w:rPr>
          <w:b w:val="0"/>
          <w:bCs/>
          <w:sz w:val="22"/>
          <w:szCs w:val="22"/>
        </w:rPr>
        <w:t>,</w:t>
      </w:r>
      <w:r w:rsidRPr="00886BC7">
        <w:rPr>
          <w:b w:val="0"/>
          <w:bCs/>
          <w:sz w:val="22"/>
          <w:szCs w:val="22"/>
        </w:rPr>
        <w:t xml:space="preserve"> requires that notice of the granting be published in the Royal Gazette. </w:t>
      </w:r>
      <w:r>
        <w:rPr>
          <w:b w:val="0"/>
          <w:bCs/>
          <w:sz w:val="22"/>
          <w:szCs w:val="22"/>
        </w:rPr>
        <w:t>Unless the court directs otherwise, the notice shall</w:t>
      </w:r>
      <w:r w:rsidRPr="00886BC7">
        <w:rPr>
          <w:b w:val="0"/>
          <w:bCs/>
          <w:sz w:val="22"/>
          <w:szCs w:val="22"/>
        </w:rPr>
        <w:t xml:space="preserve"> be advertised in the Royal Gazette for four consecutive weeks.</w:t>
      </w:r>
    </w:p>
    <w:p w14:paraId="3FA5B949" w14:textId="77777777" w:rsidR="008507A5" w:rsidRPr="00886BC7" w:rsidRDefault="008507A5" w:rsidP="008507A5">
      <w:pPr>
        <w:pStyle w:val="PRACTICETITLE"/>
        <w:spacing w:line="276" w:lineRule="auto"/>
        <w:ind w:left="1440"/>
        <w:jc w:val="left"/>
        <w:rPr>
          <w:b w:val="0"/>
          <w:bCs/>
          <w:sz w:val="22"/>
          <w:szCs w:val="22"/>
          <w:u w:val="single"/>
        </w:rPr>
      </w:pPr>
    </w:p>
    <w:p w14:paraId="53C1EC7A" w14:textId="77777777" w:rsidR="008507A5" w:rsidRPr="00886BC7" w:rsidRDefault="008507A5" w:rsidP="008507A5">
      <w:pPr>
        <w:pStyle w:val="PRACTICETITLE"/>
        <w:numPr>
          <w:ilvl w:val="1"/>
          <w:numId w:val="1"/>
        </w:numPr>
        <w:spacing w:line="276" w:lineRule="auto"/>
        <w:jc w:val="left"/>
        <w:rPr>
          <w:b w:val="0"/>
          <w:bCs/>
          <w:sz w:val="22"/>
          <w:szCs w:val="22"/>
          <w:u w:val="single"/>
        </w:rPr>
      </w:pPr>
      <w:r w:rsidRPr="00886BC7">
        <w:rPr>
          <w:b w:val="0"/>
          <w:bCs/>
          <w:sz w:val="22"/>
          <w:szCs w:val="22"/>
        </w:rPr>
        <w:t xml:space="preserve">Following the </w:t>
      </w:r>
      <w:r>
        <w:rPr>
          <w:b w:val="0"/>
          <w:bCs/>
          <w:sz w:val="22"/>
          <w:szCs w:val="22"/>
        </w:rPr>
        <w:t>g</w:t>
      </w:r>
      <w:r w:rsidRPr="00886BC7">
        <w:rPr>
          <w:b w:val="0"/>
          <w:bCs/>
          <w:sz w:val="22"/>
          <w:szCs w:val="22"/>
        </w:rPr>
        <w:t xml:space="preserve">rant of </w:t>
      </w:r>
      <w:r>
        <w:rPr>
          <w:b w:val="0"/>
          <w:bCs/>
          <w:sz w:val="22"/>
          <w:szCs w:val="22"/>
        </w:rPr>
        <w:t>p</w:t>
      </w:r>
      <w:r w:rsidRPr="00886BC7">
        <w:rPr>
          <w:b w:val="0"/>
          <w:bCs/>
          <w:sz w:val="22"/>
          <w:szCs w:val="22"/>
        </w:rPr>
        <w:t xml:space="preserve">robate or </w:t>
      </w:r>
      <w:r>
        <w:rPr>
          <w:b w:val="0"/>
          <w:bCs/>
          <w:sz w:val="22"/>
          <w:szCs w:val="22"/>
        </w:rPr>
        <w:t>a</w:t>
      </w:r>
      <w:r w:rsidRPr="00886BC7">
        <w:rPr>
          <w:b w:val="0"/>
          <w:bCs/>
          <w:sz w:val="22"/>
          <w:szCs w:val="22"/>
        </w:rPr>
        <w:t>dministration, parties are to use the style of cause in the original Grant for all subsequent documents filed.</w:t>
      </w:r>
    </w:p>
    <w:p w14:paraId="5199DEAF" w14:textId="77777777" w:rsidR="008507A5" w:rsidRPr="00886BC7" w:rsidRDefault="008507A5" w:rsidP="008507A5">
      <w:pPr>
        <w:spacing w:line="276" w:lineRule="auto"/>
        <w:jc w:val="both"/>
        <w:rPr>
          <w:rFonts w:ascii="Times New Roman" w:hAnsi="Times New Roman"/>
          <w:bCs/>
          <w:sz w:val="22"/>
          <w:szCs w:val="22"/>
          <w:u w:val="single"/>
        </w:rPr>
      </w:pPr>
    </w:p>
    <w:p w14:paraId="1700BBAA" w14:textId="77777777" w:rsidR="008507A5" w:rsidRPr="00886BC7" w:rsidRDefault="008507A5" w:rsidP="008507A5">
      <w:pPr>
        <w:pStyle w:val="ListParagraph"/>
        <w:numPr>
          <w:ilvl w:val="0"/>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Inventory and Valuation of Assets</w:t>
      </w:r>
    </w:p>
    <w:p w14:paraId="122C254E" w14:textId="77777777" w:rsidR="008507A5" w:rsidRPr="00886BC7" w:rsidRDefault="008507A5" w:rsidP="008507A5">
      <w:pPr>
        <w:pStyle w:val="ListParagraph"/>
        <w:spacing w:line="276" w:lineRule="auto"/>
        <w:jc w:val="both"/>
        <w:rPr>
          <w:rFonts w:ascii="Times New Roman" w:hAnsi="Times New Roman"/>
          <w:sz w:val="22"/>
          <w:szCs w:val="22"/>
          <w:u w:val="single"/>
          <w:lang w:val="en-GB"/>
        </w:rPr>
      </w:pPr>
    </w:p>
    <w:p w14:paraId="429FCBD2" w14:textId="77777777" w:rsidR="008507A5" w:rsidRPr="00886BC7" w:rsidRDefault="008507A5" w:rsidP="008507A5">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In estimating the value of an asset that is not already assessed for tax purposes or other market valuation, the court requires an estimate that is reasonable.  However, it is not necessary to have a valuation done by an appraiser unless the asset is of unusual or unique value.  </w:t>
      </w:r>
    </w:p>
    <w:p w14:paraId="075B10C2" w14:textId="77777777" w:rsidR="008507A5" w:rsidRPr="00886BC7" w:rsidRDefault="008507A5" w:rsidP="008507A5">
      <w:pPr>
        <w:pStyle w:val="ListParagraph"/>
        <w:spacing w:line="276" w:lineRule="auto"/>
        <w:ind w:left="1440"/>
        <w:jc w:val="both"/>
        <w:rPr>
          <w:rFonts w:ascii="Times New Roman" w:hAnsi="Times New Roman"/>
          <w:sz w:val="22"/>
          <w:szCs w:val="22"/>
          <w:u w:val="single"/>
          <w:lang w:val="en-GB"/>
        </w:rPr>
      </w:pPr>
    </w:p>
    <w:p w14:paraId="4B9E914E" w14:textId="77777777" w:rsidR="008507A5" w:rsidRPr="00886BC7" w:rsidRDefault="008507A5" w:rsidP="008507A5">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An inventory which includes real estate should indicate the location of the land, the amount of the land (i.e. house and lot, or __ acres) and the property identification number.</w:t>
      </w:r>
    </w:p>
    <w:p w14:paraId="1D394B55" w14:textId="77777777" w:rsidR="008507A5" w:rsidRPr="00886BC7" w:rsidRDefault="008507A5" w:rsidP="008507A5">
      <w:pPr>
        <w:pStyle w:val="ListParagraph"/>
        <w:rPr>
          <w:rFonts w:ascii="Times New Roman" w:hAnsi="Times New Roman"/>
          <w:sz w:val="22"/>
          <w:szCs w:val="22"/>
        </w:rPr>
      </w:pPr>
    </w:p>
    <w:p w14:paraId="3A0BC83B" w14:textId="77777777" w:rsidR="008507A5" w:rsidRPr="00886BC7" w:rsidRDefault="008507A5" w:rsidP="008507A5">
      <w:pPr>
        <w:pStyle w:val="ListParagraph"/>
        <w:numPr>
          <w:ilvl w:val="1"/>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When filing amended documents, including an inventory, amendments are to be underlined.</w:t>
      </w:r>
    </w:p>
    <w:p w14:paraId="710D5CCB" w14:textId="77777777" w:rsidR="008507A5" w:rsidRPr="00886BC7" w:rsidRDefault="008507A5" w:rsidP="008507A5">
      <w:pPr>
        <w:pStyle w:val="ListParagraph"/>
        <w:rPr>
          <w:rFonts w:ascii="Times New Roman" w:hAnsi="Times New Roman"/>
          <w:sz w:val="22"/>
          <w:szCs w:val="22"/>
        </w:rPr>
      </w:pPr>
    </w:p>
    <w:p w14:paraId="28ADBE06" w14:textId="77777777" w:rsidR="008507A5" w:rsidRPr="006A7167" w:rsidRDefault="008507A5" w:rsidP="008507A5">
      <w:pPr>
        <w:pStyle w:val="ListParagraph"/>
        <w:numPr>
          <w:ilvl w:val="1"/>
          <w:numId w:val="1"/>
        </w:numPr>
        <w:spacing w:line="276" w:lineRule="auto"/>
        <w:rPr>
          <w:rFonts w:ascii="Times New Roman" w:hAnsi="Times New Roman"/>
          <w:sz w:val="22"/>
          <w:szCs w:val="22"/>
        </w:rPr>
      </w:pPr>
      <w:r w:rsidRPr="006A7167">
        <w:rPr>
          <w:rFonts w:ascii="Times New Roman" w:hAnsi="Times New Roman"/>
          <w:sz w:val="22"/>
          <w:szCs w:val="22"/>
        </w:rPr>
        <w:t xml:space="preserve">On occasion, the court is requested to issue a grant of probate or administration in the absence of a comprehensive inventory (as the grant or administration may be required </w:t>
      </w:r>
      <w:proofErr w:type="gramStart"/>
      <w:r w:rsidRPr="006A7167">
        <w:rPr>
          <w:rFonts w:ascii="Times New Roman" w:hAnsi="Times New Roman"/>
          <w:sz w:val="22"/>
          <w:szCs w:val="22"/>
        </w:rPr>
        <w:t>in order to</w:t>
      </w:r>
      <w:proofErr w:type="gramEnd"/>
      <w:r w:rsidRPr="006A7167">
        <w:rPr>
          <w:rFonts w:ascii="Times New Roman" w:hAnsi="Times New Roman"/>
          <w:sz w:val="22"/>
          <w:szCs w:val="22"/>
        </w:rPr>
        <w:t xml:space="preserve"> facilitate a comprehensive inventory). In appropriate circumstances, the court may issue a grant of probate or administration with conditions, to facilitate the completion of a comprehensive inventory. Such conditions may include that a proper and comprehensive inventory be provided within a specified </w:t>
      </w:r>
      <w:proofErr w:type="gramStart"/>
      <w:r w:rsidRPr="006A7167">
        <w:rPr>
          <w:rFonts w:ascii="Times New Roman" w:hAnsi="Times New Roman"/>
          <w:sz w:val="22"/>
          <w:szCs w:val="22"/>
        </w:rPr>
        <w:t xml:space="preserve">time </w:t>
      </w:r>
      <w:r>
        <w:rPr>
          <w:rFonts w:ascii="Times New Roman" w:hAnsi="Times New Roman"/>
          <w:sz w:val="22"/>
          <w:szCs w:val="22"/>
        </w:rPr>
        <w:t>period</w:t>
      </w:r>
      <w:proofErr w:type="gramEnd"/>
      <w:r w:rsidRPr="006A7167">
        <w:rPr>
          <w:rFonts w:ascii="Times New Roman" w:hAnsi="Times New Roman"/>
          <w:sz w:val="22"/>
          <w:szCs w:val="22"/>
        </w:rPr>
        <w:t>. The expectation is that these time</w:t>
      </w:r>
      <w:r>
        <w:rPr>
          <w:rFonts w:ascii="Times New Roman" w:hAnsi="Times New Roman"/>
          <w:sz w:val="22"/>
          <w:szCs w:val="22"/>
        </w:rPr>
        <w:t xml:space="preserve"> limits</w:t>
      </w:r>
      <w:r w:rsidRPr="006A7167">
        <w:rPr>
          <w:rFonts w:ascii="Times New Roman" w:hAnsi="Times New Roman"/>
          <w:sz w:val="22"/>
          <w:szCs w:val="22"/>
        </w:rPr>
        <w:t xml:space="preserve"> are to be strictly adhered to, unless the court has granted leave for adjusted timelines.</w:t>
      </w:r>
    </w:p>
    <w:p w14:paraId="2C5FC3C6" w14:textId="77777777" w:rsidR="008507A5" w:rsidRPr="00886BC7" w:rsidRDefault="008507A5" w:rsidP="008507A5">
      <w:pPr>
        <w:pStyle w:val="ListParagraph"/>
        <w:spacing w:line="276" w:lineRule="auto"/>
        <w:jc w:val="both"/>
        <w:rPr>
          <w:rFonts w:ascii="Times New Roman" w:hAnsi="Times New Roman"/>
          <w:sz w:val="22"/>
          <w:szCs w:val="22"/>
          <w:lang w:val="en-GB"/>
        </w:rPr>
      </w:pPr>
    </w:p>
    <w:p w14:paraId="70E6435E" w14:textId="77777777" w:rsidR="008507A5" w:rsidRPr="00886BC7" w:rsidRDefault="008507A5" w:rsidP="008507A5">
      <w:pPr>
        <w:widowControl/>
        <w:spacing w:line="276" w:lineRule="auto"/>
        <w:jc w:val="both"/>
        <w:rPr>
          <w:rFonts w:ascii="Times New Roman" w:hAnsi="Times New Roman"/>
          <w:b/>
          <w:bCs/>
          <w:sz w:val="22"/>
          <w:szCs w:val="22"/>
          <w:lang w:val="en-GB"/>
        </w:rPr>
      </w:pPr>
    </w:p>
    <w:p w14:paraId="4CB34F14" w14:textId="77777777" w:rsidR="008507A5" w:rsidRPr="00886BC7" w:rsidRDefault="008507A5" w:rsidP="008507A5">
      <w:pPr>
        <w:pStyle w:val="ListParagraph"/>
        <w:widowControl/>
        <w:numPr>
          <w:ilvl w:val="0"/>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Dispensing with Requirement for Bond and/or Sureties in Administrations</w:t>
      </w:r>
    </w:p>
    <w:p w14:paraId="15ED9BB1" w14:textId="77777777" w:rsidR="008507A5" w:rsidRPr="00886BC7" w:rsidRDefault="008507A5" w:rsidP="008507A5">
      <w:pPr>
        <w:widowControl/>
        <w:spacing w:line="276" w:lineRule="auto"/>
        <w:jc w:val="both"/>
        <w:rPr>
          <w:rFonts w:ascii="Times New Roman" w:hAnsi="Times New Roman"/>
          <w:b/>
          <w:bCs/>
          <w:sz w:val="22"/>
          <w:szCs w:val="22"/>
          <w:lang w:val="en-GB"/>
        </w:rPr>
      </w:pPr>
    </w:p>
    <w:p w14:paraId="577A9E94" w14:textId="77777777" w:rsidR="008507A5" w:rsidRPr="00851C5C" w:rsidRDefault="008507A5" w:rsidP="008507A5">
      <w:pPr>
        <w:widowControl/>
        <w:spacing w:line="276" w:lineRule="auto"/>
        <w:ind w:left="720"/>
        <w:jc w:val="both"/>
        <w:rPr>
          <w:rFonts w:ascii="Times New Roman" w:hAnsi="Times New Roman"/>
          <w:sz w:val="22"/>
          <w:szCs w:val="22"/>
        </w:rPr>
      </w:pPr>
      <w:r w:rsidRPr="00851C5C">
        <w:rPr>
          <w:rFonts w:ascii="Times New Roman" w:hAnsi="Times New Roman"/>
          <w:sz w:val="22"/>
          <w:szCs w:val="22"/>
        </w:rPr>
        <w:t xml:space="preserve">The </w:t>
      </w:r>
      <w:r w:rsidRPr="00851C5C">
        <w:rPr>
          <w:rFonts w:ascii="Times New Roman" w:hAnsi="Times New Roman"/>
          <w:i/>
          <w:iCs/>
          <w:sz w:val="22"/>
          <w:szCs w:val="22"/>
        </w:rPr>
        <w:t xml:space="preserve">Probate Act </w:t>
      </w:r>
      <w:r w:rsidRPr="00851C5C">
        <w:rPr>
          <w:rFonts w:ascii="Times New Roman" w:hAnsi="Times New Roman"/>
          <w:sz w:val="22"/>
          <w:szCs w:val="22"/>
        </w:rPr>
        <w:t xml:space="preserve">contemplates dispensing </w:t>
      </w:r>
      <w:r>
        <w:rPr>
          <w:rFonts w:ascii="Times New Roman" w:hAnsi="Times New Roman"/>
          <w:sz w:val="22"/>
          <w:szCs w:val="22"/>
        </w:rPr>
        <w:t>with</w:t>
      </w:r>
      <w:r w:rsidRPr="00851C5C">
        <w:rPr>
          <w:rFonts w:ascii="Times New Roman" w:hAnsi="Times New Roman"/>
          <w:sz w:val="22"/>
          <w:szCs w:val="22"/>
        </w:rPr>
        <w:t xml:space="preserve"> the requirement of a bond or sureties in estates that are to be administered, “upon application made by or on behalf of the applicant”.  The decision whether to dispense of the requirement of a bond or sureties is an exercise of the court’s discretion, determined by the facts and circumstances put before the court.  Subject to other </w:t>
      </w:r>
      <w:proofErr w:type="gramStart"/>
      <w:r w:rsidRPr="00851C5C">
        <w:rPr>
          <w:rFonts w:ascii="Times New Roman" w:hAnsi="Times New Roman"/>
          <w:sz w:val="22"/>
          <w:szCs w:val="22"/>
        </w:rPr>
        <w:t>direction</w:t>
      </w:r>
      <w:proofErr w:type="gramEnd"/>
      <w:r w:rsidRPr="00851C5C">
        <w:rPr>
          <w:rFonts w:ascii="Times New Roman" w:hAnsi="Times New Roman"/>
          <w:sz w:val="22"/>
          <w:szCs w:val="22"/>
        </w:rPr>
        <w:t xml:space="preserve"> </w:t>
      </w:r>
      <w:proofErr w:type="gramStart"/>
      <w:r w:rsidRPr="00851C5C">
        <w:rPr>
          <w:rFonts w:ascii="Times New Roman" w:hAnsi="Times New Roman"/>
          <w:sz w:val="22"/>
          <w:szCs w:val="22"/>
        </w:rPr>
        <w:t>of</w:t>
      </w:r>
      <w:proofErr w:type="gramEnd"/>
      <w:r w:rsidRPr="00851C5C">
        <w:rPr>
          <w:rFonts w:ascii="Times New Roman" w:hAnsi="Times New Roman"/>
          <w:sz w:val="22"/>
          <w:szCs w:val="22"/>
        </w:rPr>
        <w:t xml:space="preserve"> the court, requests to dispense with a bond or </w:t>
      </w:r>
      <w:proofErr w:type="gramStart"/>
      <w:r w:rsidRPr="00851C5C">
        <w:rPr>
          <w:rFonts w:ascii="Times New Roman" w:hAnsi="Times New Roman"/>
          <w:sz w:val="22"/>
          <w:szCs w:val="22"/>
        </w:rPr>
        <w:t>sureties</w:t>
      </w:r>
      <w:proofErr w:type="gramEnd"/>
      <w:r w:rsidRPr="00851C5C">
        <w:rPr>
          <w:rFonts w:ascii="Times New Roman" w:hAnsi="Times New Roman"/>
          <w:sz w:val="22"/>
          <w:szCs w:val="22"/>
        </w:rPr>
        <w:t xml:space="preserve"> may be made in correspondence to the court, and sufficient details must be set out for the court to consider the request.</w:t>
      </w:r>
    </w:p>
    <w:p w14:paraId="16228655" w14:textId="77777777" w:rsidR="008507A5" w:rsidRPr="00247E75" w:rsidRDefault="008507A5" w:rsidP="008507A5">
      <w:pPr>
        <w:widowControl/>
        <w:spacing w:line="276" w:lineRule="auto"/>
        <w:ind w:left="360"/>
        <w:jc w:val="both"/>
        <w:rPr>
          <w:rFonts w:ascii="Times New Roman" w:hAnsi="Times New Roman"/>
          <w:sz w:val="22"/>
          <w:szCs w:val="22"/>
          <w:lang w:val="en-GB"/>
        </w:rPr>
      </w:pPr>
    </w:p>
    <w:p w14:paraId="45883A4E" w14:textId="77777777" w:rsidR="008507A5" w:rsidRPr="00886BC7" w:rsidRDefault="008507A5" w:rsidP="008507A5">
      <w:pPr>
        <w:pStyle w:val="BodyText"/>
        <w:numPr>
          <w:ilvl w:val="0"/>
          <w:numId w:val="1"/>
        </w:numPr>
        <w:spacing w:after="0" w:line="276" w:lineRule="auto"/>
        <w:jc w:val="both"/>
        <w:rPr>
          <w:rFonts w:ascii="Times New Roman" w:hAnsi="Times New Roman"/>
          <w:sz w:val="22"/>
          <w:szCs w:val="22"/>
          <w:u w:val="single"/>
        </w:rPr>
      </w:pPr>
      <w:r w:rsidRPr="00886BC7">
        <w:rPr>
          <w:rFonts w:ascii="Times New Roman" w:hAnsi="Times New Roman"/>
          <w:sz w:val="22"/>
          <w:szCs w:val="22"/>
          <w:u w:val="single"/>
        </w:rPr>
        <w:lastRenderedPageBreak/>
        <w:t>Passing Of Accounts</w:t>
      </w:r>
    </w:p>
    <w:p w14:paraId="16318A7F" w14:textId="77777777" w:rsidR="008507A5" w:rsidRPr="006A7167" w:rsidRDefault="008507A5" w:rsidP="008507A5">
      <w:pPr>
        <w:pStyle w:val="BodyText"/>
        <w:spacing w:line="276" w:lineRule="auto"/>
        <w:ind w:left="720"/>
        <w:rPr>
          <w:rFonts w:ascii="Times New Roman" w:hAnsi="Times New Roman"/>
          <w:sz w:val="22"/>
          <w:szCs w:val="22"/>
          <w:u w:val="single"/>
        </w:rPr>
      </w:pPr>
    </w:p>
    <w:p w14:paraId="059ADA8B" w14:textId="77777777" w:rsidR="008507A5" w:rsidRPr="00D22F23" w:rsidRDefault="008507A5" w:rsidP="008507A5">
      <w:pPr>
        <w:pStyle w:val="BodyText"/>
        <w:numPr>
          <w:ilvl w:val="1"/>
          <w:numId w:val="1"/>
        </w:numPr>
        <w:spacing w:after="0" w:line="276" w:lineRule="auto"/>
        <w:jc w:val="both"/>
        <w:rPr>
          <w:rFonts w:ascii="Times New Roman" w:hAnsi="Times New Roman"/>
          <w:sz w:val="22"/>
          <w:szCs w:val="22"/>
          <w:u w:val="single"/>
        </w:rPr>
      </w:pPr>
      <w:r w:rsidRPr="006A7167">
        <w:rPr>
          <w:rFonts w:ascii="Times New Roman" w:hAnsi="Times New Roman"/>
          <w:sz w:val="22"/>
          <w:szCs w:val="22"/>
        </w:rPr>
        <w:t>Pursuant to s</w:t>
      </w:r>
      <w:r>
        <w:rPr>
          <w:rFonts w:ascii="Times New Roman" w:hAnsi="Times New Roman"/>
          <w:sz w:val="22"/>
          <w:szCs w:val="22"/>
        </w:rPr>
        <w:t>.</w:t>
      </w:r>
      <w:r w:rsidRPr="006A7167">
        <w:rPr>
          <w:rFonts w:ascii="Times New Roman" w:hAnsi="Times New Roman"/>
          <w:sz w:val="22"/>
          <w:szCs w:val="22"/>
        </w:rPr>
        <w:t xml:space="preserve"> 54(2)(a) the </w:t>
      </w:r>
      <w:r w:rsidRPr="006A7167">
        <w:rPr>
          <w:rFonts w:ascii="Times New Roman" w:hAnsi="Times New Roman"/>
          <w:i/>
          <w:iCs/>
          <w:sz w:val="22"/>
          <w:szCs w:val="22"/>
        </w:rPr>
        <w:t>Probate Act</w:t>
      </w:r>
      <w:r w:rsidRPr="006A7167">
        <w:rPr>
          <w:rFonts w:ascii="Times New Roman" w:hAnsi="Times New Roman"/>
          <w:sz w:val="22"/>
          <w:szCs w:val="22"/>
        </w:rPr>
        <w:t>, a Citation</w:t>
      </w:r>
      <w:r w:rsidRPr="00886BC7">
        <w:rPr>
          <w:rFonts w:ascii="Times New Roman" w:hAnsi="Times New Roman"/>
          <w:sz w:val="22"/>
          <w:szCs w:val="22"/>
        </w:rPr>
        <w:t xml:space="preserve"> for the passing of accounts must be posted in three public locations as the </w:t>
      </w:r>
      <w:r>
        <w:rPr>
          <w:rFonts w:ascii="Times New Roman" w:hAnsi="Times New Roman"/>
          <w:sz w:val="22"/>
          <w:szCs w:val="22"/>
        </w:rPr>
        <w:t>court</w:t>
      </w:r>
      <w:r w:rsidRPr="00886BC7">
        <w:rPr>
          <w:rFonts w:ascii="Times New Roman" w:hAnsi="Times New Roman"/>
          <w:sz w:val="22"/>
          <w:szCs w:val="22"/>
        </w:rPr>
        <w:t xml:space="preserve"> directs. </w:t>
      </w:r>
      <w:r>
        <w:rPr>
          <w:rFonts w:ascii="Times New Roman" w:hAnsi="Times New Roman"/>
          <w:sz w:val="22"/>
          <w:szCs w:val="22"/>
        </w:rPr>
        <w:t>Subject to other directions from the court, the</w:t>
      </w:r>
      <w:r w:rsidRPr="00886BC7">
        <w:rPr>
          <w:rFonts w:ascii="Times New Roman" w:hAnsi="Times New Roman"/>
          <w:sz w:val="22"/>
          <w:szCs w:val="22"/>
        </w:rPr>
        <w:t xml:space="preserve"> Citation </w:t>
      </w:r>
      <w:r>
        <w:rPr>
          <w:rFonts w:ascii="Times New Roman" w:hAnsi="Times New Roman"/>
          <w:sz w:val="22"/>
          <w:szCs w:val="22"/>
        </w:rPr>
        <w:t xml:space="preserve">should generally be </w:t>
      </w:r>
      <w:r w:rsidRPr="00886BC7">
        <w:rPr>
          <w:rFonts w:ascii="Times New Roman" w:hAnsi="Times New Roman"/>
          <w:sz w:val="22"/>
          <w:szCs w:val="22"/>
        </w:rPr>
        <w:t>posted at the following three locations:</w:t>
      </w:r>
    </w:p>
    <w:p w14:paraId="20BEC703" w14:textId="77777777" w:rsidR="008507A5" w:rsidRPr="00886BC7" w:rsidRDefault="008507A5" w:rsidP="008507A5">
      <w:pPr>
        <w:pStyle w:val="BodyText"/>
        <w:spacing w:after="0" w:line="276" w:lineRule="auto"/>
        <w:ind w:left="1440"/>
        <w:jc w:val="both"/>
        <w:rPr>
          <w:rFonts w:ascii="Times New Roman" w:hAnsi="Times New Roman"/>
          <w:sz w:val="22"/>
          <w:szCs w:val="22"/>
          <w:u w:val="single"/>
        </w:rPr>
      </w:pPr>
    </w:p>
    <w:p w14:paraId="51E580A0" w14:textId="77777777" w:rsidR="008507A5" w:rsidRPr="00886BC7" w:rsidRDefault="008507A5" w:rsidP="008507A5">
      <w:pPr>
        <w:pStyle w:val="BodyText"/>
        <w:numPr>
          <w:ilvl w:val="2"/>
          <w:numId w:val="1"/>
        </w:numPr>
        <w:spacing w:after="0" w:line="276" w:lineRule="auto"/>
        <w:jc w:val="both"/>
        <w:rPr>
          <w:rFonts w:ascii="Times New Roman" w:hAnsi="Times New Roman"/>
          <w:sz w:val="22"/>
          <w:szCs w:val="22"/>
          <w:u w:val="single"/>
        </w:rPr>
      </w:pPr>
      <w:r w:rsidRPr="00886BC7">
        <w:rPr>
          <w:rFonts w:ascii="Times New Roman" w:hAnsi="Times New Roman"/>
          <w:sz w:val="22"/>
          <w:szCs w:val="22"/>
        </w:rPr>
        <w:t>The courthouse in the County in which the deceased resided.</w:t>
      </w:r>
    </w:p>
    <w:p w14:paraId="6C845F5A" w14:textId="77777777" w:rsidR="008507A5" w:rsidRPr="00886BC7" w:rsidRDefault="008507A5" w:rsidP="008507A5">
      <w:pPr>
        <w:pStyle w:val="BodyText"/>
        <w:numPr>
          <w:ilvl w:val="2"/>
          <w:numId w:val="1"/>
        </w:numPr>
        <w:spacing w:after="0" w:line="276" w:lineRule="auto"/>
        <w:jc w:val="both"/>
        <w:rPr>
          <w:rFonts w:ascii="Times New Roman" w:hAnsi="Times New Roman"/>
          <w:sz w:val="22"/>
          <w:szCs w:val="22"/>
          <w:u w:val="single"/>
        </w:rPr>
      </w:pPr>
      <w:r w:rsidRPr="00886BC7">
        <w:rPr>
          <w:rFonts w:ascii="Times New Roman" w:hAnsi="Times New Roman"/>
          <w:sz w:val="22"/>
          <w:szCs w:val="22"/>
        </w:rPr>
        <w:t>A bank or credit union within 50km of where the deceased resided; and</w:t>
      </w:r>
    </w:p>
    <w:p w14:paraId="2D4AE8BF" w14:textId="77777777" w:rsidR="008507A5" w:rsidRPr="00886BC7" w:rsidRDefault="008507A5" w:rsidP="008507A5">
      <w:pPr>
        <w:pStyle w:val="BodyText"/>
        <w:numPr>
          <w:ilvl w:val="2"/>
          <w:numId w:val="1"/>
        </w:numPr>
        <w:spacing w:after="0" w:line="276" w:lineRule="auto"/>
        <w:jc w:val="both"/>
        <w:rPr>
          <w:rFonts w:ascii="Times New Roman" w:hAnsi="Times New Roman"/>
          <w:sz w:val="22"/>
          <w:szCs w:val="22"/>
          <w:u w:val="single"/>
        </w:rPr>
      </w:pPr>
      <w:r w:rsidRPr="00886BC7">
        <w:rPr>
          <w:rFonts w:ascii="Times New Roman" w:hAnsi="Times New Roman"/>
          <w:sz w:val="22"/>
          <w:szCs w:val="22"/>
        </w:rPr>
        <w:t>A pharmacy or gas station within 50km of where the deceased resided.</w:t>
      </w:r>
    </w:p>
    <w:p w14:paraId="2DCFB457" w14:textId="77777777" w:rsidR="008507A5" w:rsidRPr="00886BC7" w:rsidRDefault="008507A5" w:rsidP="008507A5">
      <w:pPr>
        <w:spacing w:line="276" w:lineRule="auto"/>
        <w:ind w:left="720"/>
        <w:rPr>
          <w:rFonts w:ascii="Times New Roman" w:hAnsi="Times New Roman"/>
          <w:sz w:val="22"/>
          <w:szCs w:val="22"/>
        </w:rPr>
      </w:pPr>
    </w:p>
    <w:p w14:paraId="144635FD" w14:textId="77777777" w:rsidR="008507A5" w:rsidRPr="00886BC7" w:rsidRDefault="008507A5" w:rsidP="008507A5">
      <w:pPr>
        <w:spacing w:line="276" w:lineRule="auto"/>
        <w:ind w:left="1440"/>
        <w:rPr>
          <w:rFonts w:ascii="Times New Roman" w:hAnsi="Times New Roman"/>
          <w:sz w:val="22"/>
          <w:szCs w:val="22"/>
        </w:rPr>
      </w:pPr>
      <w:r w:rsidRPr="00886BC7">
        <w:rPr>
          <w:rFonts w:ascii="Times New Roman" w:hAnsi="Times New Roman"/>
          <w:sz w:val="22"/>
          <w:szCs w:val="22"/>
        </w:rPr>
        <w:t xml:space="preserve">The court may also </w:t>
      </w:r>
      <w:proofErr w:type="gramStart"/>
      <w:r w:rsidRPr="00886BC7">
        <w:rPr>
          <w:rFonts w:ascii="Times New Roman" w:hAnsi="Times New Roman"/>
          <w:sz w:val="22"/>
          <w:szCs w:val="22"/>
        </w:rPr>
        <w:t>approve</w:t>
      </w:r>
      <w:proofErr w:type="gramEnd"/>
      <w:r w:rsidRPr="00886BC7">
        <w:rPr>
          <w:rFonts w:ascii="Times New Roman" w:hAnsi="Times New Roman"/>
          <w:sz w:val="22"/>
          <w:szCs w:val="22"/>
        </w:rPr>
        <w:t xml:space="preserve"> other locations. If an alternate location is requested, the representative of the estate or their lawyer may contact the </w:t>
      </w:r>
      <w:r>
        <w:rPr>
          <w:rFonts w:ascii="Times New Roman" w:hAnsi="Times New Roman"/>
          <w:sz w:val="22"/>
          <w:szCs w:val="22"/>
        </w:rPr>
        <w:t>d</w:t>
      </w:r>
      <w:r w:rsidRPr="00886BC7">
        <w:rPr>
          <w:rFonts w:ascii="Times New Roman" w:hAnsi="Times New Roman"/>
          <w:sz w:val="22"/>
          <w:szCs w:val="22"/>
        </w:rPr>
        <w:t xml:space="preserve">eputy </w:t>
      </w:r>
      <w:r>
        <w:rPr>
          <w:rFonts w:ascii="Times New Roman" w:hAnsi="Times New Roman"/>
          <w:sz w:val="22"/>
          <w:szCs w:val="22"/>
        </w:rPr>
        <w:t>r</w:t>
      </w:r>
      <w:r w:rsidRPr="00886BC7">
        <w:rPr>
          <w:rFonts w:ascii="Times New Roman" w:hAnsi="Times New Roman"/>
          <w:sz w:val="22"/>
          <w:szCs w:val="22"/>
        </w:rPr>
        <w:t xml:space="preserve">egistrar with the proposed location, and the court will provide further </w:t>
      </w:r>
      <w:proofErr w:type="gramStart"/>
      <w:r w:rsidRPr="00886BC7">
        <w:rPr>
          <w:rFonts w:ascii="Times New Roman" w:hAnsi="Times New Roman"/>
          <w:sz w:val="22"/>
          <w:szCs w:val="22"/>
        </w:rPr>
        <w:t>direction</w:t>
      </w:r>
      <w:proofErr w:type="gramEnd"/>
      <w:r w:rsidRPr="00886BC7">
        <w:rPr>
          <w:rFonts w:ascii="Times New Roman" w:hAnsi="Times New Roman"/>
          <w:sz w:val="22"/>
          <w:szCs w:val="22"/>
        </w:rPr>
        <w:t>.</w:t>
      </w:r>
    </w:p>
    <w:p w14:paraId="6491F038" w14:textId="77777777" w:rsidR="008507A5" w:rsidRPr="00886BC7" w:rsidRDefault="008507A5" w:rsidP="008507A5">
      <w:pPr>
        <w:spacing w:line="276" w:lineRule="auto"/>
        <w:ind w:left="720"/>
        <w:rPr>
          <w:rFonts w:ascii="Times New Roman" w:hAnsi="Times New Roman"/>
          <w:sz w:val="22"/>
          <w:szCs w:val="22"/>
        </w:rPr>
      </w:pPr>
    </w:p>
    <w:p w14:paraId="4DB96EDB" w14:textId="77777777" w:rsidR="008507A5" w:rsidRPr="00886BC7" w:rsidRDefault="008507A5" w:rsidP="008507A5">
      <w:pPr>
        <w:pStyle w:val="ListParagraph"/>
        <w:numPr>
          <w:ilvl w:val="1"/>
          <w:numId w:val="1"/>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Before a hearing for the final passing of accounts is authorized, the moving party shall advise the trial coordinator or the deputy registrar of the estimated duration of the hearing being requested. </w:t>
      </w:r>
    </w:p>
    <w:p w14:paraId="5DDEB195" w14:textId="77777777" w:rsidR="008507A5" w:rsidRPr="00886BC7" w:rsidRDefault="008507A5" w:rsidP="008507A5">
      <w:pPr>
        <w:pStyle w:val="ListParagraph"/>
        <w:spacing w:line="276" w:lineRule="auto"/>
        <w:ind w:left="1440"/>
        <w:jc w:val="both"/>
        <w:rPr>
          <w:rFonts w:ascii="Times New Roman" w:hAnsi="Times New Roman"/>
          <w:sz w:val="22"/>
          <w:szCs w:val="22"/>
          <w:lang w:val="en-GB"/>
        </w:rPr>
      </w:pPr>
    </w:p>
    <w:p w14:paraId="434F7BCB" w14:textId="77777777" w:rsidR="008507A5" w:rsidRPr="00886BC7" w:rsidRDefault="008507A5" w:rsidP="008507A5">
      <w:pPr>
        <w:pStyle w:val="ListParagraph"/>
        <w:numPr>
          <w:ilvl w:val="1"/>
          <w:numId w:val="1"/>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If the moving party is aware that the passing of accounts may be contested, the moving party shall advise the trial coordinator. The court may require case management to address hearing-related matters, including estimated duration of the hearing.</w:t>
      </w:r>
    </w:p>
    <w:p w14:paraId="5B4CEC57" w14:textId="77777777" w:rsidR="008507A5" w:rsidRPr="00886BC7" w:rsidRDefault="008507A5" w:rsidP="008507A5">
      <w:pPr>
        <w:pStyle w:val="ListParagraph"/>
        <w:rPr>
          <w:rFonts w:ascii="Times New Roman" w:hAnsi="Times New Roman"/>
          <w:sz w:val="22"/>
          <w:szCs w:val="22"/>
          <w:lang w:val="en-GB"/>
        </w:rPr>
      </w:pPr>
    </w:p>
    <w:p w14:paraId="3113BE64" w14:textId="77777777" w:rsidR="008507A5" w:rsidRPr="00886BC7" w:rsidRDefault="008507A5" w:rsidP="008507A5">
      <w:pPr>
        <w:pStyle w:val="ListParagraph"/>
        <w:numPr>
          <w:ilvl w:val="1"/>
          <w:numId w:val="1"/>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When filing the Executor’s/Administrator’s Final Accounts, Forms 65WW (Petition to Pass Accounts, </w:t>
      </w:r>
      <w:r>
        <w:rPr>
          <w:rFonts w:ascii="Times New Roman" w:hAnsi="Times New Roman"/>
          <w:sz w:val="22"/>
          <w:szCs w:val="22"/>
          <w:lang w:val="en-GB"/>
        </w:rPr>
        <w:t>e</w:t>
      </w:r>
      <w:r w:rsidRPr="00886BC7">
        <w:rPr>
          <w:rFonts w:ascii="Times New Roman" w:hAnsi="Times New Roman"/>
          <w:sz w:val="22"/>
          <w:szCs w:val="22"/>
          <w:lang w:val="en-GB"/>
        </w:rPr>
        <w:t>tc.), 65XX (Affidavit Verifying Accounts) and 65AAA (Inventory on Passing Accounts) are required to be filed.  Form 65X (Notice of Having Interest) may also be required, if not already filed.</w:t>
      </w:r>
    </w:p>
    <w:p w14:paraId="5D7BD4AC" w14:textId="77777777" w:rsidR="008507A5" w:rsidRPr="00886BC7" w:rsidRDefault="008507A5" w:rsidP="008507A5">
      <w:pPr>
        <w:pStyle w:val="ListParagraph"/>
        <w:rPr>
          <w:rFonts w:ascii="Times New Roman" w:hAnsi="Times New Roman"/>
          <w:sz w:val="22"/>
          <w:szCs w:val="22"/>
          <w:lang w:val="en-GB"/>
        </w:rPr>
      </w:pPr>
    </w:p>
    <w:p w14:paraId="729ABC39" w14:textId="77777777" w:rsidR="008507A5" w:rsidRPr="00886BC7" w:rsidRDefault="008507A5" w:rsidP="008507A5">
      <w:pPr>
        <w:pStyle w:val="ListParagraph"/>
        <w:numPr>
          <w:ilvl w:val="1"/>
          <w:numId w:val="1"/>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The Executor/Administrator is not entitled to commission unless court approval is obtained pursuant to s</w:t>
      </w:r>
      <w:r>
        <w:rPr>
          <w:rFonts w:ascii="Times New Roman" w:hAnsi="Times New Roman"/>
          <w:sz w:val="22"/>
          <w:szCs w:val="22"/>
          <w:lang w:val="en-GB"/>
        </w:rPr>
        <w:t>.</w:t>
      </w:r>
      <w:r w:rsidRPr="00886BC7">
        <w:rPr>
          <w:rFonts w:ascii="Times New Roman" w:hAnsi="Times New Roman"/>
          <w:sz w:val="22"/>
          <w:szCs w:val="22"/>
          <w:lang w:val="en-GB"/>
        </w:rPr>
        <w:t xml:space="preserve"> 11 of the </w:t>
      </w:r>
      <w:r w:rsidRPr="00886BC7">
        <w:rPr>
          <w:rFonts w:ascii="Times New Roman" w:hAnsi="Times New Roman"/>
          <w:i/>
          <w:iCs/>
          <w:sz w:val="22"/>
          <w:szCs w:val="22"/>
          <w:lang w:val="en-GB"/>
        </w:rPr>
        <w:t>Probate Act</w:t>
      </w:r>
      <w:r w:rsidRPr="00886BC7">
        <w:rPr>
          <w:rFonts w:ascii="Times New Roman" w:hAnsi="Times New Roman"/>
          <w:sz w:val="22"/>
          <w:szCs w:val="22"/>
          <w:lang w:val="en-GB"/>
        </w:rPr>
        <w:t>.  Before requesting such approval, a Statement of Receipts and Disbursements and acknowledgment of receipt by the heirs, must be filed.</w:t>
      </w:r>
    </w:p>
    <w:p w14:paraId="3533CC92" w14:textId="77777777" w:rsidR="008507A5" w:rsidRPr="00886BC7" w:rsidRDefault="008507A5" w:rsidP="008507A5">
      <w:pPr>
        <w:pStyle w:val="ListParagraph"/>
        <w:widowControl/>
        <w:spacing w:line="276" w:lineRule="auto"/>
        <w:jc w:val="both"/>
        <w:rPr>
          <w:rFonts w:ascii="Times New Roman" w:hAnsi="Times New Roman"/>
          <w:sz w:val="22"/>
          <w:szCs w:val="22"/>
          <w:lang w:val="en-GB"/>
        </w:rPr>
      </w:pPr>
    </w:p>
    <w:p w14:paraId="1F3BCC3E" w14:textId="77777777" w:rsidR="008507A5" w:rsidRPr="00886BC7" w:rsidRDefault="008507A5" w:rsidP="008507A5">
      <w:pPr>
        <w:spacing w:line="276" w:lineRule="auto"/>
        <w:jc w:val="both"/>
        <w:rPr>
          <w:rFonts w:ascii="Times New Roman" w:hAnsi="Times New Roman"/>
          <w:sz w:val="22"/>
          <w:szCs w:val="22"/>
          <w:lang w:val="en-GB"/>
        </w:rPr>
      </w:pPr>
    </w:p>
    <w:p w14:paraId="541719C6" w14:textId="77777777" w:rsidR="008507A5" w:rsidRPr="00886BC7" w:rsidRDefault="008507A5" w:rsidP="008507A5">
      <w:pPr>
        <w:pStyle w:val="PRACTICETITLE"/>
        <w:numPr>
          <w:ilvl w:val="0"/>
          <w:numId w:val="1"/>
        </w:numPr>
        <w:spacing w:line="276" w:lineRule="auto"/>
        <w:jc w:val="left"/>
        <w:rPr>
          <w:b w:val="0"/>
          <w:bCs/>
          <w:sz w:val="22"/>
          <w:szCs w:val="22"/>
          <w:u w:val="single"/>
        </w:rPr>
      </w:pPr>
      <w:bookmarkStart w:id="1" w:name="_Toc140467730"/>
      <w:bookmarkStart w:id="2" w:name="_Toc140469657"/>
      <w:bookmarkStart w:id="3" w:name="_Toc140477693"/>
      <w:bookmarkStart w:id="4" w:name="_Toc140483246"/>
      <w:bookmarkStart w:id="5" w:name="_Toc140551031"/>
      <w:bookmarkStart w:id="6" w:name="_Toc140552392"/>
      <w:bookmarkStart w:id="7" w:name="_Toc140554004"/>
      <w:bookmarkStart w:id="8" w:name="_Toc96079421"/>
      <w:r w:rsidRPr="00886BC7">
        <w:rPr>
          <w:b w:val="0"/>
          <w:bCs/>
          <w:sz w:val="22"/>
          <w:szCs w:val="22"/>
          <w:u w:val="single"/>
        </w:rPr>
        <w:t>Trustee Fees for the Care and Management of Trusts</w:t>
      </w:r>
      <w:bookmarkEnd w:id="1"/>
      <w:bookmarkEnd w:id="2"/>
      <w:bookmarkEnd w:id="3"/>
      <w:bookmarkEnd w:id="4"/>
      <w:bookmarkEnd w:id="5"/>
      <w:bookmarkEnd w:id="6"/>
      <w:bookmarkEnd w:id="7"/>
      <w:bookmarkEnd w:id="8"/>
    </w:p>
    <w:p w14:paraId="1544A410" w14:textId="77777777" w:rsidR="008507A5" w:rsidRPr="00886BC7" w:rsidRDefault="008507A5" w:rsidP="008507A5">
      <w:pPr>
        <w:pStyle w:val="PRACTICETITLE"/>
        <w:spacing w:line="276" w:lineRule="auto"/>
        <w:ind w:left="720"/>
        <w:jc w:val="left"/>
        <w:rPr>
          <w:b w:val="0"/>
          <w:bCs/>
          <w:sz w:val="22"/>
          <w:szCs w:val="22"/>
          <w:u w:val="single"/>
        </w:rPr>
      </w:pPr>
    </w:p>
    <w:p w14:paraId="0556B935" w14:textId="77777777" w:rsidR="008507A5" w:rsidRPr="00886BC7" w:rsidRDefault="008507A5" w:rsidP="008507A5">
      <w:pPr>
        <w:pStyle w:val="PRACTICETITLE"/>
        <w:numPr>
          <w:ilvl w:val="1"/>
          <w:numId w:val="1"/>
        </w:numPr>
        <w:spacing w:line="276" w:lineRule="auto"/>
        <w:jc w:val="left"/>
        <w:rPr>
          <w:b w:val="0"/>
          <w:bCs/>
          <w:sz w:val="22"/>
          <w:szCs w:val="22"/>
          <w:u w:val="single"/>
        </w:rPr>
      </w:pPr>
      <w:r w:rsidRPr="00BB3A1A">
        <w:rPr>
          <w:b w:val="0"/>
          <w:bCs/>
          <w:sz w:val="22"/>
          <w:szCs w:val="22"/>
        </w:rPr>
        <w:t>Lawyers and self-represented parties are reminded that s</w:t>
      </w:r>
      <w:r>
        <w:rPr>
          <w:b w:val="0"/>
          <w:bCs/>
          <w:sz w:val="22"/>
          <w:szCs w:val="22"/>
        </w:rPr>
        <w:t>.</w:t>
      </w:r>
      <w:r w:rsidRPr="00BB3A1A">
        <w:rPr>
          <w:b w:val="0"/>
          <w:bCs/>
          <w:sz w:val="22"/>
          <w:szCs w:val="22"/>
        </w:rPr>
        <w:t xml:space="preserve"> 31 of the </w:t>
      </w:r>
      <w:r w:rsidRPr="00BB3A1A">
        <w:rPr>
          <w:b w:val="0"/>
          <w:bCs/>
          <w:i/>
          <w:iCs/>
          <w:sz w:val="22"/>
          <w:szCs w:val="22"/>
        </w:rPr>
        <w:t>Trustee Act</w:t>
      </w:r>
      <w:r w:rsidRPr="00BB3A1A">
        <w:rPr>
          <w:b w:val="0"/>
          <w:bCs/>
          <w:sz w:val="22"/>
          <w:szCs w:val="22"/>
        </w:rPr>
        <w:t>, RSPEI 1988, Cap. T-8, provides that “trustees. . . are entitled to such fair and reasonable compensation for</w:t>
      </w:r>
      <w:r w:rsidRPr="00886BC7">
        <w:rPr>
          <w:b w:val="0"/>
          <w:bCs/>
          <w:sz w:val="22"/>
          <w:szCs w:val="22"/>
        </w:rPr>
        <w:t xml:space="preserve"> their care, pains and trouble, and their time expended in and about the trust estate, and in such proportion where there is more than one trustee, as is determined by the Court.”</w:t>
      </w:r>
    </w:p>
    <w:p w14:paraId="6B0BCCFD" w14:textId="77777777" w:rsidR="008507A5" w:rsidRPr="00886BC7" w:rsidRDefault="008507A5" w:rsidP="008507A5">
      <w:pPr>
        <w:pStyle w:val="PRACTICETITLE"/>
        <w:spacing w:line="276" w:lineRule="auto"/>
        <w:ind w:left="1440"/>
        <w:jc w:val="left"/>
        <w:rPr>
          <w:b w:val="0"/>
          <w:bCs/>
          <w:sz w:val="22"/>
          <w:szCs w:val="22"/>
          <w:u w:val="single"/>
        </w:rPr>
      </w:pPr>
    </w:p>
    <w:p w14:paraId="4CE54563" w14:textId="3EC40297" w:rsidR="00ED1BFF" w:rsidRPr="00B93F54" w:rsidRDefault="008507A5" w:rsidP="00B93F54">
      <w:pPr>
        <w:ind w:left="720"/>
        <w:rPr>
          <w:rFonts w:ascii="Times New Roman" w:hAnsi="Times New Roman"/>
        </w:rPr>
      </w:pPr>
      <w:r w:rsidRPr="00B93F54">
        <w:rPr>
          <w:rFonts w:ascii="Times New Roman" w:hAnsi="Times New Roman"/>
          <w:bCs/>
          <w:sz w:val="22"/>
          <w:szCs w:val="22"/>
        </w:rPr>
        <w:t xml:space="preserve">Where a trustee’s remuneration was not established by the agreement setting up the trust, it is necessary to apply to the court, on an annual basis, to have a trustee’s remuneration decided.  </w:t>
      </w:r>
    </w:p>
    <w:sectPr w:rsidR="00ED1BFF" w:rsidRPr="00B9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4957" w14:textId="77777777" w:rsidR="00B93F54" w:rsidRDefault="00B93F54" w:rsidP="00B93F54">
      <w:r>
        <w:separator/>
      </w:r>
    </w:p>
  </w:endnote>
  <w:endnote w:type="continuationSeparator" w:id="0">
    <w:p w14:paraId="628BC9A4" w14:textId="77777777" w:rsidR="00B93F54" w:rsidRDefault="00B93F54" w:rsidP="00B9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769958"/>
      <w:docPartObj>
        <w:docPartGallery w:val="Page Numbers (Bottom of Page)"/>
        <w:docPartUnique/>
      </w:docPartObj>
    </w:sdtPr>
    <w:sdtEndPr>
      <w:rPr>
        <w:noProof/>
      </w:rPr>
    </w:sdtEndPr>
    <w:sdtContent>
      <w:p w14:paraId="2CDA7AA3" w14:textId="19B7329C" w:rsidR="00B93F54" w:rsidRDefault="00B93F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93AAC" w14:textId="77777777" w:rsidR="00B93F54" w:rsidRDefault="00B9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E32F" w14:textId="77777777" w:rsidR="00B93F54" w:rsidRDefault="00B93F54" w:rsidP="00B93F54">
      <w:r>
        <w:separator/>
      </w:r>
    </w:p>
  </w:footnote>
  <w:footnote w:type="continuationSeparator" w:id="0">
    <w:p w14:paraId="6D1347D1" w14:textId="77777777" w:rsidR="00B93F54" w:rsidRDefault="00B93F54" w:rsidP="00B9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0CDE"/>
    <w:multiLevelType w:val="hybridMultilevel"/>
    <w:tmpl w:val="79289A8A"/>
    <w:lvl w:ilvl="0" w:tplc="0409000F">
      <w:start w:val="1"/>
      <w:numFmt w:val="decimal"/>
      <w:lvlText w:val="%1."/>
      <w:lvlJc w:val="left"/>
      <w:pPr>
        <w:ind w:left="720" w:hanging="360"/>
      </w:pPr>
      <w:rPr>
        <w:rFonts w:hint="default"/>
      </w:rPr>
    </w:lvl>
    <w:lvl w:ilvl="1" w:tplc="4C0CE1D4">
      <w:start w:val="1"/>
      <w:numFmt w:val="lowerLetter"/>
      <w:lvlText w:val="%2."/>
      <w:lvlJc w:val="left"/>
      <w:pPr>
        <w:ind w:left="1440" w:hanging="360"/>
      </w:pPr>
      <w:rPr>
        <w:b w:val="0"/>
        <w:bCs w:val="0"/>
      </w:rPr>
    </w:lvl>
    <w:lvl w:ilvl="2" w:tplc="36969CEA">
      <w:start w:val="1"/>
      <w:numFmt w:val="lowerRoman"/>
      <w:lvlText w:val="(%3)"/>
      <w:lvlJc w:val="right"/>
      <w:pPr>
        <w:ind w:left="216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50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A5"/>
    <w:rsid w:val="000824AF"/>
    <w:rsid w:val="003E4C92"/>
    <w:rsid w:val="00424F8B"/>
    <w:rsid w:val="004B03A6"/>
    <w:rsid w:val="004C60FA"/>
    <w:rsid w:val="008507A5"/>
    <w:rsid w:val="008D7D56"/>
    <w:rsid w:val="009230C7"/>
    <w:rsid w:val="00B42811"/>
    <w:rsid w:val="00B93F54"/>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CBEF"/>
  <w15:chartTrackingRefBased/>
  <w15:docId w15:val="{9389EFCC-9CCE-420B-A324-03FF518B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A5"/>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850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7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7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07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07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07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07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07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7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7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07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07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07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07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07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07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7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7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07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07A5"/>
    <w:rPr>
      <w:i/>
      <w:iCs/>
      <w:color w:val="404040" w:themeColor="text1" w:themeTint="BF"/>
    </w:rPr>
  </w:style>
  <w:style w:type="paragraph" w:styleId="ListParagraph">
    <w:name w:val="List Paragraph"/>
    <w:basedOn w:val="Normal"/>
    <w:uiPriority w:val="34"/>
    <w:qFormat/>
    <w:rsid w:val="008507A5"/>
    <w:pPr>
      <w:ind w:left="720"/>
      <w:contextualSpacing/>
    </w:pPr>
  </w:style>
  <w:style w:type="character" w:styleId="IntenseEmphasis">
    <w:name w:val="Intense Emphasis"/>
    <w:basedOn w:val="DefaultParagraphFont"/>
    <w:uiPriority w:val="21"/>
    <w:qFormat/>
    <w:rsid w:val="008507A5"/>
    <w:rPr>
      <w:i/>
      <w:iCs/>
      <w:color w:val="0F4761" w:themeColor="accent1" w:themeShade="BF"/>
    </w:rPr>
  </w:style>
  <w:style w:type="paragraph" w:styleId="IntenseQuote">
    <w:name w:val="Intense Quote"/>
    <w:basedOn w:val="Normal"/>
    <w:next w:val="Normal"/>
    <w:link w:val="IntenseQuoteChar"/>
    <w:uiPriority w:val="30"/>
    <w:qFormat/>
    <w:rsid w:val="00850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7A5"/>
    <w:rPr>
      <w:i/>
      <w:iCs/>
      <w:color w:val="0F4761" w:themeColor="accent1" w:themeShade="BF"/>
    </w:rPr>
  </w:style>
  <w:style w:type="character" w:styleId="IntenseReference">
    <w:name w:val="Intense Reference"/>
    <w:basedOn w:val="DefaultParagraphFont"/>
    <w:uiPriority w:val="32"/>
    <w:qFormat/>
    <w:rsid w:val="008507A5"/>
    <w:rPr>
      <w:b/>
      <w:bCs/>
      <w:smallCaps/>
      <w:color w:val="0F4761" w:themeColor="accent1" w:themeShade="BF"/>
      <w:spacing w:val="5"/>
    </w:rPr>
  </w:style>
  <w:style w:type="paragraph" w:customStyle="1" w:styleId="PRACTICETITLE">
    <w:name w:val="PRACTICETITLE"/>
    <w:basedOn w:val="Normal"/>
    <w:rsid w:val="008507A5"/>
    <w:pPr>
      <w:spacing w:line="216" w:lineRule="auto"/>
      <w:jc w:val="center"/>
    </w:pPr>
    <w:rPr>
      <w:rFonts w:ascii="Times New Roman" w:hAnsi="Times New Roman"/>
      <w:b/>
      <w:lang w:val="en-GB"/>
    </w:rPr>
  </w:style>
  <w:style w:type="paragraph" w:styleId="BodyText">
    <w:name w:val="Body Text"/>
    <w:basedOn w:val="Normal"/>
    <w:link w:val="BodyTextChar"/>
    <w:uiPriority w:val="99"/>
    <w:unhideWhenUsed/>
    <w:rsid w:val="008507A5"/>
    <w:pPr>
      <w:spacing w:after="120"/>
    </w:pPr>
  </w:style>
  <w:style w:type="character" w:customStyle="1" w:styleId="BodyTextChar">
    <w:name w:val="Body Text Char"/>
    <w:basedOn w:val="DefaultParagraphFont"/>
    <w:link w:val="BodyText"/>
    <w:uiPriority w:val="99"/>
    <w:rsid w:val="008507A5"/>
    <w:rPr>
      <w:rFonts w:ascii="CG Omega" w:eastAsia="Times New Roman" w:hAnsi="CG Omega" w:cs="Times New Roman"/>
      <w:kern w:val="0"/>
      <w:sz w:val="20"/>
      <w14:ligatures w14:val="none"/>
    </w:rPr>
  </w:style>
  <w:style w:type="paragraph" w:styleId="Header">
    <w:name w:val="header"/>
    <w:basedOn w:val="Normal"/>
    <w:link w:val="HeaderChar"/>
    <w:uiPriority w:val="99"/>
    <w:unhideWhenUsed/>
    <w:rsid w:val="00B93F54"/>
    <w:pPr>
      <w:tabs>
        <w:tab w:val="center" w:pos="4680"/>
        <w:tab w:val="right" w:pos="9360"/>
      </w:tabs>
    </w:pPr>
  </w:style>
  <w:style w:type="character" w:customStyle="1" w:styleId="HeaderChar">
    <w:name w:val="Header Char"/>
    <w:basedOn w:val="DefaultParagraphFont"/>
    <w:link w:val="Header"/>
    <w:uiPriority w:val="99"/>
    <w:rsid w:val="00B93F54"/>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B93F54"/>
    <w:pPr>
      <w:tabs>
        <w:tab w:val="center" w:pos="4680"/>
        <w:tab w:val="right" w:pos="9360"/>
      </w:tabs>
    </w:pPr>
  </w:style>
  <w:style w:type="character" w:customStyle="1" w:styleId="FooterChar">
    <w:name w:val="Footer Char"/>
    <w:basedOn w:val="DefaultParagraphFont"/>
    <w:link w:val="Footer"/>
    <w:uiPriority w:val="99"/>
    <w:rsid w:val="00B93F54"/>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Company>ITSS</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2025-08-25T13:55:00Z</dcterms:created>
  <dcterms:modified xsi:type="dcterms:W3CDTF">2025-08-25T16:39:00Z</dcterms:modified>
</cp:coreProperties>
</file>