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0C0CD" w14:textId="77777777" w:rsidR="00D54E2E" w:rsidRPr="00886BC7" w:rsidRDefault="00D54E2E" w:rsidP="00D54E2E">
      <w:pPr>
        <w:pStyle w:val="PRACTICENOTE"/>
        <w:spacing w:line="276" w:lineRule="auto"/>
        <w:rPr>
          <w:sz w:val="22"/>
          <w:szCs w:val="22"/>
          <w:u w:val="single"/>
          <w:lang w:val="en-US"/>
        </w:rPr>
      </w:pPr>
      <w:bookmarkStart w:id="0" w:name="_Hlk200974980"/>
      <w:r w:rsidRPr="00886BC7">
        <w:rPr>
          <w:sz w:val="22"/>
          <w:szCs w:val="22"/>
          <w:u w:val="single"/>
          <w:lang w:val="en-US"/>
        </w:rPr>
        <w:t xml:space="preserve">PART </w:t>
      </w:r>
      <w:r>
        <w:rPr>
          <w:sz w:val="22"/>
          <w:szCs w:val="22"/>
          <w:u w:val="single"/>
          <w:lang w:val="en-US"/>
        </w:rPr>
        <w:t>V</w:t>
      </w:r>
      <w:r w:rsidRPr="00886BC7">
        <w:rPr>
          <w:sz w:val="22"/>
          <w:szCs w:val="22"/>
          <w:u w:val="single"/>
          <w:lang w:val="en-US"/>
        </w:rPr>
        <w:t xml:space="preserve"> – </w:t>
      </w:r>
      <w:r>
        <w:rPr>
          <w:sz w:val="22"/>
          <w:szCs w:val="22"/>
          <w:u w:val="single"/>
          <w:lang w:val="en-US"/>
        </w:rPr>
        <w:t xml:space="preserve">GENERAL DIRECTIONS: </w:t>
      </w:r>
      <w:r w:rsidRPr="00886BC7">
        <w:rPr>
          <w:sz w:val="22"/>
          <w:szCs w:val="22"/>
          <w:u w:val="single"/>
          <w:lang w:val="en-US"/>
        </w:rPr>
        <w:t>MOTIONS AND APPLICATIONS</w:t>
      </w:r>
    </w:p>
    <w:bookmarkEnd w:id="0"/>
    <w:p w14:paraId="0D616293" w14:textId="77777777" w:rsidR="00D54E2E" w:rsidRDefault="00D54E2E" w:rsidP="00D54E2E">
      <w:pPr>
        <w:pStyle w:val="PRACTICENOTE"/>
        <w:spacing w:line="276" w:lineRule="auto"/>
        <w:jc w:val="left"/>
        <w:rPr>
          <w:b w:val="0"/>
          <w:bCs/>
          <w:sz w:val="22"/>
          <w:szCs w:val="22"/>
        </w:rPr>
      </w:pPr>
    </w:p>
    <w:p w14:paraId="6C0F5CAB" w14:textId="77777777" w:rsidR="00D54E2E" w:rsidRPr="00886BC7" w:rsidRDefault="00D54E2E" w:rsidP="00D54E2E">
      <w:pPr>
        <w:pStyle w:val="PRACTICENOTE"/>
        <w:spacing w:line="276" w:lineRule="auto"/>
        <w:jc w:val="left"/>
        <w:rPr>
          <w:b w:val="0"/>
          <w:bCs/>
          <w:sz w:val="22"/>
          <w:szCs w:val="22"/>
        </w:rPr>
      </w:pPr>
      <w:r w:rsidRPr="00886BC7">
        <w:rPr>
          <w:b w:val="0"/>
          <w:bCs/>
          <w:sz w:val="22"/>
          <w:szCs w:val="22"/>
        </w:rPr>
        <w:t xml:space="preserve">Lawyers and self-represented parties in family law matters </w:t>
      </w:r>
      <w:r>
        <w:rPr>
          <w:b w:val="0"/>
          <w:bCs/>
          <w:sz w:val="22"/>
          <w:szCs w:val="22"/>
        </w:rPr>
        <w:t>should</w:t>
      </w:r>
      <w:r w:rsidRPr="00886BC7">
        <w:rPr>
          <w:b w:val="0"/>
          <w:bCs/>
          <w:sz w:val="22"/>
          <w:szCs w:val="22"/>
        </w:rPr>
        <w:t xml:space="preserve"> also consult the Practice Directions relating to Family Law </w:t>
      </w:r>
      <w:r>
        <w:rPr>
          <w:b w:val="0"/>
          <w:bCs/>
          <w:sz w:val="22"/>
          <w:szCs w:val="22"/>
        </w:rPr>
        <w:t xml:space="preserve">Matters </w:t>
      </w:r>
      <w:r w:rsidRPr="00886BC7">
        <w:rPr>
          <w:b w:val="0"/>
          <w:bCs/>
          <w:sz w:val="22"/>
          <w:szCs w:val="22"/>
        </w:rPr>
        <w:t xml:space="preserve">and Divorce Proceedings, for further direction. </w:t>
      </w:r>
    </w:p>
    <w:p w14:paraId="2462FFF6" w14:textId="77777777" w:rsidR="00D54E2E" w:rsidRPr="00886BC7" w:rsidRDefault="00D54E2E" w:rsidP="00D54E2E">
      <w:pPr>
        <w:spacing w:line="276" w:lineRule="auto"/>
        <w:jc w:val="both"/>
        <w:rPr>
          <w:rFonts w:ascii="Times New Roman" w:hAnsi="Times New Roman"/>
          <w:b/>
          <w:bCs/>
          <w:sz w:val="22"/>
          <w:szCs w:val="22"/>
          <w:lang w:val="en-GB"/>
        </w:rPr>
      </w:pPr>
    </w:p>
    <w:p w14:paraId="05025351" w14:textId="77777777" w:rsidR="00D54E2E" w:rsidRPr="00876A75" w:rsidRDefault="00D54E2E" w:rsidP="00D54E2E">
      <w:pPr>
        <w:pStyle w:val="PRACTICETITLE"/>
        <w:numPr>
          <w:ilvl w:val="0"/>
          <w:numId w:val="1"/>
        </w:numPr>
        <w:spacing w:line="276" w:lineRule="auto"/>
        <w:jc w:val="left"/>
        <w:rPr>
          <w:b w:val="0"/>
          <w:bCs/>
          <w:sz w:val="22"/>
          <w:szCs w:val="22"/>
          <w:u w:val="single"/>
        </w:rPr>
      </w:pPr>
      <w:r w:rsidRPr="00876A75">
        <w:rPr>
          <w:b w:val="0"/>
          <w:bCs/>
          <w:sz w:val="22"/>
          <w:szCs w:val="22"/>
          <w:u w:val="single"/>
        </w:rPr>
        <w:t>Contested and Uncontested Matters</w:t>
      </w:r>
    </w:p>
    <w:p w14:paraId="454300D3" w14:textId="77777777" w:rsidR="00D54E2E" w:rsidRPr="00886BC7" w:rsidRDefault="00D54E2E" w:rsidP="00D54E2E">
      <w:pPr>
        <w:pStyle w:val="PRACTICETITLE"/>
        <w:spacing w:line="276" w:lineRule="auto"/>
        <w:ind w:left="720"/>
        <w:jc w:val="left"/>
        <w:rPr>
          <w:b w:val="0"/>
          <w:bCs/>
          <w:sz w:val="22"/>
          <w:szCs w:val="22"/>
        </w:rPr>
      </w:pPr>
    </w:p>
    <w:p w14:paraId="3683738C" w14:textId="77777777" w:rsidR="00D54E2E" w:rsidRPr="00886BC7" w:rsidRDefault="00D54E2E" w:rsidP="00D54E2E">
      <w:pPr>
        <w:pStyle w:val="PRACTICETITLE"/>
        <w:numPr>
          <w:ilvl w:val="1"/>
          <w:numId w:val="1"/>
        </w:numPr>
        <w:spacing w:line="276" w:lineRule="auto"/>
        <w:jc w:val="left"/>
        <w:rPr>
          <w:b w:val="0"/>
          <w:bCs/>
          <w:sz w:val="22"/>
          <w:szCs w:val="22"/>
        </w:rPr>
      </w:pPr>
      <w:r w:rsidRPr="00886BC7">
        <w:rPr>
          <w:b w:val="0"/>
          <w:bCs/>
          <w:sz w:val="22"/>
          <w:szCs w:val="22"/>
        </w:rPr>
        <w:t xml:space="preserve">Contested </w:t>
      </w:r>
      <w:r w:rsidRPr="00CA1ABA">
        <w:rPr>
          <w:b w:val="0"/>
          <w:bCs/>
          <w:sz w:val="22"/>
          <w:szCs w:val="22"/>
        </w:rPr>
        <w:t>chambers motions and applications are heard in Charlottetown and Summerside (</w:t>
      </w:r>
      <w:proofErr w:type="spellStart"/>
      <w:r w:rsidRPr="00CA1ABA">
        <w:rPr>
          <w:b w:val="0"/>
          <w:bCs/>
          <w:sz w:val="22"/>
          <w:szCs w:val="22"/>
        </w:rPr>
        <w:t>Slemon</w:t>
      </w:r>
      <w:proofErr w:type="spellEnd"/>
      <w:r w:rsidRPr="00CA1ABA">
        <w:rPr>
          <w:b w:val="0"/>
          <w:bCs/>
          <w:sz w:val="22"/>
          <w:szCs w:val="22"/>
        </w:rPr>
        <w:t xml:space="preserve"> Park) courthouses</w:t>
      </w:r>
      <w:r w:rsidRPr="00886BC7">
        <w:rPr>
          <w:b w:val="0"/>
          <w:bCs/>
          <w:sz w:val="22"/>
          <w:szCs w:val="22"/>
        </w:rPr>
        <w:t xml:space="preserve"> on dates and times as determined by the court. </w:t>
      </w:r>
      <w:r w:rsidRPr="00886BC7">
        <w:rPr>
          <w:b w:val="0"/>
          <w:bCs/>
          <w:sz w:val="22"/>
          <w:szCs w:val="22"/>
        </w:rPr>
        <w:tab/>
      </w:r>
    </w:p>
    <w:p w14:paraId="6BF493FA" w14:textId="77777777" w:rsidR="00D54E2E" w:rsidRPr="00886BC7" w:rsidRDefault="00D54E2E" w:rsidP="00D54E2E">
      <w:pPr>
        <w:pStyle w:val="PRACTICETITLE"/>
        <w:spacing w:line="276" w:lineRule="auto"/>
        <w:ind w:left="1440"/>
        <w:jc w:val="left"/>
        <w:rPr>
          <w:b w:val="0"/>
          <w:bCs/>
          <w:sz w:val="22"/>
          <w:szCs w:val="22"/>
        </w:rPr>
      </w:pPr>
    </w:p>
    <w:p w14:paraId="20DDE106" w14:textId="77777777" w:rsidR="00D54E2E" w:rsidRPr="00886BC7" w:rsidRDefault="00D54E2E" w:rsidP="00D54E2E">
      <w:pPr>
        <w:pStyle w:val="PRACTICETITLE"/>
        <w:numPr>
          <w:ilvl w:val="1"/>
          <w:numId w:val="1"/>
        </w:numPr>
        <w:spacing w:line="276" w:lineRule="auto"/>
        <w:jc w:val="left"/>
        <w:rPr>
          <w:b w:val="0"/>
          <w:bCs/>
          <w:sz w:val="22"/>
          <w:szCs w:val="22"/>
        </w:rPr>
      </w:pPr>
      <w:r w:rsidRPr="00886BC7">
        <w:rPr>
          <w:b w:val="0"/>
          <w:bCs/>
          <w:sz w:val="22"/>
          <w:szCs w:val="22"/>
        </w:rPr>
        <w:t xml:space="preserve">All motions and applications are treated as contested unless the </w:t>
      </w:r>
      <w:r w:rsidRPr="00886BC7">
        <w:rPr>
          <w:b w:val="0"/>
          <w:bCs/>
          <w:i/>
          <w:iCs/>
          <w:sz w:val="22"/>
          <w:szCs w:val="22"/>
        </w:rPr>
        <w:t>Rules of Civil Procedure</w:t>
      </w:r>
      <w:r w:rsidRPr="00886BC7">
        <w:rPr>
          <w:b w:val="0"/>
          <w:bCs/>
          <w:sz w:val="22"/>
          <w:szCs w:val="22"/>
        </w:rPr>
        <w:t xml:space="preserve"> or applicable statutes direct otherwise, or the court directs otherwise.</w:t>
      </w:r>
    </w:p>
    <w:p w14:paraId="7B0E58C0" w14:textId="77777777" w:rsidR="00D54E2E" w:rsidRPr="00886BC7" w:rsidRDefault="00D54E2E" w:rsidP="00D54E2E">
      <w:pPr>
        <w:pStyle w:val="ListParagraph"/>
        <w:rPr>
          <w:rFonts w:ascii="Times New Roman" w:hAnsi="Times New Roman"/>
          <w:b/>
          <w:bCs/>
          <w:sz w:val="22"/>
          <w:szCs w:val="22"/>
        </w:rPr>
      </w:pPr>
    </w:p>
    <w:p w14:paraId="706FB914" w14:textId="77777777" w:rsidR="00D54E2E" w:rsidRPr="00886BC7" w:rsidRDefault="00D54E2E" w:rsidP="00D54E2E">
      <w:pPr>
        <w:pStyle w:val="PRACTICETITLE"/>
        <w:numPr>
          <w:ilvl w:val="1"/>
          <w:numId w:val="1"/>
        </w:numPr>
        <w:spacing w:line="276" w:lineRule="auto"/>
        <w:jc w:val="left"/>
        <w:rPr>
          <w:b w:val="0"/>
          <w:bCs/>
          <w:sz w:val="22"/>
          <w:szCs w:val="22"/>
        </w:rPr>
      </w:pPr>
      <w:r w:rsidRPr="00886BC7">
        <w:rPr>
          <w:b w:val="0"/>
          <w:bCs/>
          <w:sz w:val="22"/>
          <w:szCs w:val="22"/>
        </w:rPr>
        <w:t>The court may also specifically designate matters which may proceed on an uncontested basis.</w:t>
      </w:r>
    </w:p>
    <w:p w14:paraId="091C33DF" w14:textId="77777777" w:rsidR="00D54E2E" w:rsidRPr="00886BC7" w:rsidRDefault="00D54E2E" w:rsidP="00D54E2E">
      <w:pPr>
        <w:spacing w:line="276" w:lineRule="auto"/>
        <w:rPr>
          <w:rFonts w:ascii="Times New Roman" w:hAnsi="Times New Roman"/>
          <w:sz w:val="22"/>
          <w:szCs w:val="22"/>
        </w:rPr>
      </w:pPr>
    </w:p>
    <w:p w14:paraId="19FEB261" w14:textId="77777777" w:rsidR="00D54E2E" w:rsidRPr="00886BC7" w:rsidRDefault="00D54E2E" w:rsidP="00D54E2E">
      <w:pPr>
        <w:pStyle w:val="PRACTICETITLE"/>
        <w:spacing w:line="276" w:lineRule="auto"/>
        <w:jc w:val="left"/>
        <w:rPr>
          <w:b w:val="0"/>
          <w:bCs/>
          <w:sz w:val="22"/>
          <w:szCs w:val="22"/>
        </w:rPr>
      </w:pPr>
    </w:p>
    <w:p w14:paraId="5B0DE7D6" w14:textId="77777777" w:rsidR="00D54E2E" w:rsidRPr="00B140C2" w:rsidRDefault="00D54E2E" w:rsidP="00D54E2E">
      <w:pPr>
        <w:pStyle w:val="PRACTICETITLE"/>
        <w:numPr>
          <w:ilvl w:val="0"/>
          <w:numId w:val="1"/>
        </w:numPr>
        <w:spacing w:line="276" w:lineRule="auto"/>
        <w:jc w:val="left"/>
        <w:rPr>
          <w:b w:val="0"/>
          <w:bCs/>
          <w:sz w:val="22"/>
          <w:szCs w:val="22"/>
          <w:u w:val="single"/>
        </w:rPr>
      </w:pPr>
      <w:r w:rsidRPr="00B140C2">
        <w:rPr>
          <w:b w:val="0"/>
          <w:bCs/>
          <w:sz w:val="22"/>
          <w:szCs w:val="22"/>
          <w:u w:val="single"/>
        </w:rPr>
        <w:t>Scheduling</w:t>
      </w:r>
    </w:p>
    <w:p w14:paraId="3F83EA36" w14:textId="77777777" w:rsidR="00D54E2E" w:rsidRPr="00886BC7" w:rsidRDefault="00D54E2E" w:rsidP="00D54E2E">
      <w:pPr>
        <w:pStyle w:val="PRACTICETITLE"/>
        <w:spacing w:line="276" w:lineRule="auto"/>
        <w:ind w:left="720"/>
        <w:jc w:val="left"/>
        <w:rPr>
          <w:b w:val="0"/>
          <w:bCs/>
          <w:sz w:val="22"/>
          <w:szCs w:val="22"/>
        </w:rPr>
      </w:pPr>
    </w:p>
    <w:p w14:paraId="42BD01EB" w14:textId="77777777" w:rsidR="00D54E2E" w:rsidRPr="00886BC7" w:rsidRDefault="00D54E2E" w:rsidP="00D54E2E">
      <w:pPr>
        <w:pStyle w:val="PRACTICETITLE"/>
        <w:numPr>
          <w:ilvl w:val="1"/>
          <w:numId w:val="1"/>
        </w:numPr>
        <w:spacing w:line="276" w:lineRule="auto"/>
        <w:jc w:val="left"/>
        <w:rPr>
          <w:b w:val="0"/>
          <w:bCs/>
          <w:sz w:val="22"/>
          <w:szCs w:val="22"/>
        </w:rPr>
      </w:pPr>
      <w:r w:rsidRPr="00F50EE9">
        <w:rPr>
          <w:b w:val="0"/>
          <w:bCs/>
          <w:sz w:val="22"/>
          <w:szCs w:val="22"/>
        </w:rPr>
        <w:t>Generally, a motion or application is scheduled once the party requests a hearing date from the court. For many reasons, including the administration of justice, some matters may be scheduled by a deputy registrar</w:t>
      </w:r>
      <w:r w:rsidRPr="00886BC7">
        <w:rPr>
          <w:b w:val="0"/>
          <w:bCs/>
          <w:sz w:val="22"/>
          <w:szCs w:val="22"/>
        </w:rPr>
        <w:t xml:space="preserve"> whereas other matters require scheduling by the trial coordinator.</w:t>
      </w:r>
    </w:p>
    <w:p w14:paraId="67FF6837" w14:textId="77777777" w:rsidR="00D54E2E" w:rsidRPr="00886BC7" w:rsidRDefault="00D54E2E" w:rsidP="00D54E2E">
      <w:pPr>
        <w:pStyle w:val="PRACTICETITLE"/>
        <w:spacing w:line="276" w:lineRule="auto"/>
        <w:ind w:left="1440"/>
        <w:jc w:val="left"/>
        <w:rPr>
          <w:b w:val="0"/>
          <w:bCs/>
          <w:sz w:val="22"/>
          <w:szCs w:val="22"/>
        </w:rPr>
      </w:pPr>
    </w:p>
    <w:p w14:paraId="4C4DE9A2" w14:textId="77777777" w:rsidR="00D54E2E" w:rsidRPr="00886BC7" w:rsidRDefault="00D54E2E" w:rsidP="00D54E2E">
      <w:pPr>
        <w:pStyle w:val="PRACTICETITLE"/>
        <w:numPr>
          <w:ilvl w:val="1"/>
          <w:numId w:val="1"/>
        </w:numPr>
        <w:spacing w:line="276" w:lineRule="auto"/>
        <w:jc w:val="left"/>
        <w:rPr>
          <w:b w:val="0"/>
          <w:bCs/>
          <w:sz w:val="22"/>
          <w:szCs w:val="22"/>
        </w:rPr>
      </w:pPr>
      <w:r w:rsidRPr="00886BC7">
        <w:rPr>
          <w:b w:val="0"/>
          <w:bCs/>
          <w:sz w:val="22"/>
          <w:szCs w:val="22"/>
        </w:rPr>
        <w:t xml:space="preserve">Before filing documents, the moving party is to contact the deputy registrar to obtain a date and time for the hearing of the motion or application.  If required, the deputy registrar may direct the moving party to contact the trial coordinator. For various matters, case management may be required before a hearing is authorized. </w:t>
      </w:r>
    </w:p>
    <w:p w14:paraId="6408DC04" w14:textId="77777777" w:rsidR="00D54E2E" w:rsidRDefault="00D54E2E" w:rsidP="00D54E2E">
      <w:pPr>
        <w:pStyle w:val="ListParagraph"/>
        <w:rPr>
          <w:rFonts w:ascii="Times New Roman" w:hAnsi="Times New Roman"/>
          <w:b/>
          <w:bCs/>
          <w:sz w:val="22"/>
          <w:szCs w:val="22"/>
        </w:rPr>
      </w:pPr>
    </w:p>
    <w:p w14:paraId="42ED826F" w14:textId="77777777" w:rsidR="00D54E2E" w:rsidRDefault="00D54E2E" w:rsidP="00D54E2E">
      <w:pPr>
        <w:pStyle w:val="BodyText"/>
        <w:spacing w:after="0" w:line="276" w:lineRule="auto"/>
        <w:ind w:left="720"/>
        <w:rPr>
          <w:rFonts w:ascii="Times New Roman" w:hAnsi="Times New Roman"/>
          <w:sz w:val="22"/>
          <w:szCs w:val="22"/>
          <w:u w:val="single"/>
        </w:rPr>
      </w:pPr>
    </w:p>
    <w:p w14:paraId="2CB1B544" w14:textId="77777777" w:rsidR="00D54E2E" w:rsidRDefault="00D54E2E" w:rsidP="00D54E2E">
      <w:pPr>
        <w:pStyle w:val="BodyText"/>
        <w:numPr>
          <w:ilvl w:val="0"/>
          <w:numId w:val="1"/>
        </w:numPr>
        <w:spacing w:after="0" w:line="276" w:lineRule="auto"/>
        <w:rPr>
          <w:rFonts w:ascii="Times New Roman" w:hAnsi="Times New Roman"/>
          <w:sz w:val="22"/>
          <w:szCs w:val="22"/>
          <w:u w:val="single"/>
        </w:rPr>
      </w:pPr>
      <w:r w:rsidRPr="00B140C2">
        <w:rPr>
          <w:rFonts w:ascii="Times New Roman" w:hAnsi="Times New Roman"/>
          <w:sz w:val="22"/>
          <w:szCs w:val="22"/>
          <w:u w:val="single"/>
        </w:rPr>
        <w:t>Summary Judgment</w:t>
      </w:r>
    </w:p>
    <w:p w14:paraId="3883BC7B" w14:textId="77777777" w:rsidR="00D54E2E" w:rsidRPr="00CB702D" w:rsidRDefault="00D54E2E" w:rsidP="00D54E2E">
      <w:pPr>
        <w:pStyle w:val="BodyText"/>
        <w:spacing w:after="0" w:line="276" w:lineRule="auto"/>
        <w:ind w:left="720"/>
        <w:rPr>
          <w:rFonts w:ascii="Times New Roman" w:hAnsi="Times New Roman"/>
          <w:sz w:val="22"/>
          <w:szCs w:val="22"/>
          <w:u w:val="single"/>
        </w:rPr>
      </w:pPr>
    </w:p>
    <w:p w14:paraId="30E29F2A" w14:textId="77777777" w:rsidR="00D54E2E" w:rsidRPr="00886BC7" w:rsidRDefault="00D54E2E" w:rsidP="00D54E2E">
      <w:pPr>
        <w:pStyle w:val="BodyText"/>
        <w:numPr>
          <w:ilvl w:val="1"/>
          <w:numId w:val="1"/>
        </w:numPr>
        <w:spacing w:after="0" w:line="276" w:lineRule="auto"/>
        <w:rPr>
          <w:rFonts w:ascii="Times New Roman" w:hAnsi="Times New Roman"/>
          <w:sz w:val="22"/>
          <w:szCs w:val="22"/>
        </w:rPr>
      </w:pPr>
      <w:r>
        <w:rPr>
          <w:rFonts w:ascii="Times New Roman" w:hAnsi="Times New Roman"/>
          <w:sz w:val="22"/>
          <w:szCs w:val="22"/>
        </w:rPr>
        <w:t xml:space="preserve">As contemplated in </w:t>
      </w:r>
      <w:r w:rsidRPr="00886BC7">
        <w:rPr>
          <w:rFonts w:ascii="Times New Roman" w:hAnsi="Times New Roman"/>
          <w:sz w:val="22"/>
          <w:szCs w:val="22"/>
        </w:rPr>
        <w:t xml:space="preserve">the </w:t>
      </w:r>
      <w:r w:rsidRPr="00886BC7">
        <w:rPr>
          <w:rFonts w:ascii="Times New Roman" w:hAnsi="Times New Roman"/>
          <w:i/>
          <w:iCs/>
          <w:sz w:val="22"/>
          <w:szCs w:val="22"/>
        </w:rPr>
        <w:t>Rules</w:t>
      </w:r>
      <w:r>
        <w:rPr>
          <w:rFonts w:ascii="Times New Roman" w:hAnsi="Times New Roman"/>
          <w:i/>
          <w:iCs/>
          <w:sz w:val="22"/>
          <w:szCs w:val="22"/>
        </w:rPr>
        <w:t>,</w:t>
      </w:r>
      <w:r w:rsidRPr="00886BC7">
        <w:rPr>
          <w:rFonts w:ascii="Times New Roman" w:hAnsi="Times New Roman"/>
          <w:sz w:val="22"/>
          <w:szCs w:val="22"/>
        </w:rPr>
        <w:t xml:space="preserve"> prior to a summary judgment motion being set down for </w:t>
      </w:r>
      <w:r>
        <w:rPr>
          <w:rFonts w:ascii="Times New Roman" w:hAnsi="Times New Roman"/>
          <w:sz w:val="22"/>
          <w:szCs w:val="22"/>
        </w:rPr>
        <w:t xml:space="preserve">a </w:t>
      </w:r>
      <w:r w:rsidRPr="00886BC7">
        <w:rPr>
          <w:rFonts w:ascii="Times New Roman" w:hAnsi="Times New Roman"/>
          <w:sz w:val="22"/>
          <w:szCs w:val="22"/>
        </w:rPr>
        <w:t>hearing, the parties have a conference call or meeting with a judge. This is often referred to as a “triage” call or meeting.</w:t>
      </w:r>
    </w:p>
    <w:p w14:paraId="0100D7FE" w14:textId="77777777" w:rsidR="00D54E2E" w:rsidRPr="00886BC7" w:rsidRDefault="00D54E2E" w:rsidP="00D54E2E">
      <w:pPr>
        <w:pStyle w:val="BodyText"/>
        <w:spacing w:line="276" w:lineRule="auto"/>
        <w:ind w:left="1440"/>
        <w:rPr>
          <w:rFonts w:ascii="Times New Roman" w:hAnsi="Times New Roman"/>
          <w:sz w:val="22"/>
          <w:szCs w:val="22"/>
        </w:rPr>
      </w:pPr>
    </w:p>
    <w:p w14:paraId="186AD490" w14:textId="77777777" w:rsidR="00D54E2E" w:rsidRPr="00B140C2" w:rsidRDefault="00D54E2E" w:rsidP="00D54E2E">
      <w:pPr>
        <w:pStyle w:val="BodyText"/>
        <w:numPr>
          <w:ilvl w:val="1"/>
          <w:numId w:val="1"/>
        </w:numPr>
        <w:spacing w:after="0" w:line="276" w:lineRule="auto"/>
        <w:rPr>
          <w:rFonts w:ascii="Times New Roman" w:hAnsi="Times New Roman"/>
          <w:sz w:val="22"/>
          <w:szCs w:val="22"/>
        </w:rPr>
      </w:pPr>
      <w:r w:rsidRPr="00B140C2">
        <w:rPr>
          <w:rFonts w:ascii="Times New Roman" w:hAnsi="Times New Roman"/>
          <w:sz w:val="22"/>
          <w:szCs w:val="22"/>
        </w:rPr>
        <w:t>Unless the court orders otherwise, a triage call or meeting shall not be held until such time as the moving party serves and files, at a minimum, the notice of motion.</w:t>
      </w:r>
      <w:r>
        <w:rPr>
          <w:rFonts w:ascii="Times New Roman" w:hAnsi="Times New Roman"/>
          <w:sz w:val="22"/>
          <w:szCs w:val="22"/>
        </w:rPr>
        <w:t xml:space="preserve"> </w:t>
      </w:r>
      <w:r w:rsidRPr="00B140C2">
        <w:rPr>
          <w:rFonts w:ascii="Times New Roman" w:hAnsi="Times New Roman"/>
          <w:sz w:val="22"/>
          <w:szCs w:val="22"/>
        </w:rPr>
        <w:t>The notice of motion shall refer to the date of the motion as a “date to be fixed”.</w:t>
      </w:r>
    </w:p>
    <w:p w14:paraId="55694F03" w14:textId="77777777" w:rsidR="00D54E2E" w:rsidRDefault="00D54E2E" w:rsidP="00D54E2E">
      <w:pPr>
        <w:pStyle w:val="BodyText"/>
        <w:spacing w:line="276" w:lineRule="auto"/>
        <w:ind w:left="1440"/>
        <w:rPr>
          <w:rFonts w:ascii="Times New Roman" w:hAnsi="Times New Roman"/>
          <w:sz w:val="22"/>
          <w:szCs w:val="22"/>
        </w:rPr>
      </w:pPr>
    </w:p>
    <w:p w14:paraId="76AB57CC" w14:textId="77777777" w:rsidR="00697E52" w:rsidRDefault="00697E52" w:rsidP="00D54E2E">
      <w:pPr>
        <w:pStyle w:val="BodyText"/>
        <w:spacing w:line="276" w:lineRule="auto"/>
        <w:ind w:left="1440"/>
        <w:rPr>
          <w:rFonts w:ascii="Times New Roman" w:hAnsi="Times New Roman"/>
          <w:sz w:val="22"/>
          <w:szCs w:val="22"/>
        </w:rPr>
      </w:pPr>
    </w:p>
    <w:p w14:paraId="04F3D80E" w14:textId="77777777" w:rsidR="00697E52" w:rsidRPr="00886BC7" w:rsidRDefault="00697E52" w:rsidP="00D54E2E">
      <w:pPr>
        <w:pStyle w:val="BodyText"/>
        <w:spacing w:line="276" w:lineRule="auto"/>
        <w:ind w:left="1440"/>
        <w:rPr>
          <w:rFonts w:ascii="Times New Roman" w:hAnsi="Times New Roman"/>
          <w:sz w:val="22"/>
          <w:szCs w:val="22"/>
        </w:rPr>
      </w:pPr>
    </w:p>
    <w:p w14:paraId="4408FBFF" w14:textId="77777777" w:rsidR="00D54E2E" w:rsidRPr="00886BC7" w:rsidRDefault="00D54E2E" w:rsidP="00D54E2E">
      <w:pPr>
        <w:pStyle w:val="BodyText"/>
        <w:numPr>
          <w:ilvl w:val="1"/>
          <w:numId w:val="1"/>
        </w:numPr>
        <w:spacing w:after="0" w:line="276" w:lineRule="auto"/>
        <w:rPr>
          <w:rFonts w:ascii="Times New Roman" w:hAnsi="Times New Roman"/>
          <w:sz w:val="22"/>
          <w:szCs w:val="22"/>
        </w:rPr>
      </w:pPr>
      <w:r w:rsidRPr="00886BC7">
        <w:rPr>
          <w:rFonts w:ascii="Times New Roman" w:hAnsi="Times New Roman"/>
          <w:sz w:val="22"/>
          <w:szCs w:val="22"/>
        </w:rPr>
        <w:lastRenderedPageBreak/>
        <w:t xml:space="preserve">The </w:t>
      </w:r>
      <w:r>
        <w:rPr>
          <w:rFonts w:ascii="Times New Roman" w:hAnsi="Times New Roman"/>
          <w:sz w:val="22"/>
          <w:szCs w:val="22"/>
        </w:rPr>
        <w:t xml:space="preserve">triage </w:t>
      </w:r>
      <w:r w:rsidRPr="00886BC7">
        <w:rPr>
          <w:rFonts w:ascii="Times New Roman" w:hAnsi="Times New Roman"/>
          <w:sz w:val="22"/>
          <w:szCs w:val="22"/>
        </w:rPr>
        <w:t xml:space="preserve">judge shall canvas with the lawyers or self-represented </w:t>
      </w:r>
      <w:proofErr w:type="gramStart"/>
      <w:r w:rsidRPr="00886BC7">
        <w:rPr>
          <w:rFonts w:ascii="Times New Roman" w:hAnsi="Times New Roman"/>
          <w:sz w:val="22"/>
          <w:szCs w:val="22"/>
        </w:rPr>
        <w:t>parties</w:t>
      </w:r>
      <w:proofErr w:type="gramEnd"/>
      <w:r w:rsidRPr="00886BC7">
        <w:rPr>
          <w:rFonts w:ascii="Times New Roman" w:hAnsi="Times New Roman"/>
          <w:sz w:val="22"/>
          <w:szCs w:val="22"/>
        </w:rPr>
        <w:t xml:space="preserve"> various matters including steps required, filing timelines and estimates of the amount of time needed for the motion.</w:t>
      </w:r>
    </w:p>
    <w:p w14:paraId="27B835F6" w14:textId="77777777" w:rsidR="00D54E2E" w:rsidRPr="00886BC7" w:rsidRDefault="00D54E2E" w:rsidP="00D54E2E">
      <w:pPr>
        <w:pStyle w:val="ListParagraph"/>
        <w:rPr>
          <w:rFonts w:ascii="Times New Roman" w:hAnsi="Times New Roman"/>
          <w:sz w:val="22"/>
          <w:szCs w:val="22"/>
        </w:rPr>
      </w:pPr>
    </w:p>
    <w:p w14:paraId="60FAED6A" w14:textId="77777777" w:rsidR="00D54E2E" w:rsidRPr="00886BC7" w:rsidRDefault="00D54E2E" w:rsidP="00D54E2E">
      <w:pPr>
        <w:pStyle w:val="BodyText"/>
        <w:numPr>
          <w:ilvl w:val="1"/>
          <w:numId w:val="1"/>
        </w:numPr>
        <w:spacing w:after="0" w:line="276" w:lineRule="auto"/>
        <w:rPr>
          <w:rFonts w:ascii="Times New Roman" w:hAnsi="Times New Roman"/>
          <w:sz w:val="22"/>
          <w:szCs w:val="22"/>
        </w:rPr>
      </w:pPr>
      <w:r w:rsidRPr="00886BC7">
        <w:rPr>
          <w:rFonts w:ascii="Times New Roman" w:hAnsi="Times New Roman"/>
          <w:sz w:val="22"/>
          <w:szCs w:val="22"/>
        </w:rPr>
        <w:t xml:space="preserve">Once the judge has authorized the scheduling of the summary judgment motion, the trial coordinator may proceed with scheduling. </w:t>
      </w:r>
    </w:p>
    <w:p w14:paraId="1572ED8D" w14:textId="77777777" w:rsidR="00D54E2E" w:rsidRPr="00886BC7" w:rsidRDefault="00D54E2E" w:rsidP="00D54E2E">
      <w:pPr>
        <w:pStyle w:val="ListParagraph"/>
        <w:rPr>
          <w:rFonts w:ascii="Times New Roman" w:hAnsi="Times New Roman"/>
          <w:sz w:val="22"/>
          <w:szCs w:val="22"/>
        </w:rPr>
      </w:pPr>
    </w:p>
    <w:p w14:paraId="750FFF3B" w14:textId="77777777" w:rsidR="00D54E2E" w:rsidRPr="00886BC7" w:rsidRDefault="00D54E2E" w:rsidP="00D54E2E">
      <w:pPr>
        <w:spacing w:line="276" w:lineRule="auto"/>
        <w:rPr>
          <w:rFonts w:ascii="Times New Roman" w:hAnsi="Times New Roman"/>
          <w:sz w:val="22"/>
          <w:szCs w:val="22"/>
          <w:lang w:val="en-GB"/>
        </w:rPr>
      </w:pPr>
    </w:p>
    <w:p w14:paraId="01BF5F71" w14:textId="77777777" w:rsidR="00D54E2E" w:rsidRPr="00CA1ABA" w:rsidRDefault="00D54E2E" w:rsidP="00D54E2E">
      <w:pPr>
        <w:pStyle w:val="BodyText"/>
        <w:numPr>
          <w:ilvl w:val="0"/>
          <w:numId w:val="1"/>
        </w:numPr>
        <w:spacing w:after="0" w:line="276" w:lineRule="auto"/>
        <w:rPr>
          <w:rFonts w:ascii="Times New Roman" w:hAnsi="Times New Roman"/>
          <w:sz w:val="22"/>
          <w:szCs w:val="22"/>
          <w:u w:val="single"/>
        </w:rPr>
      </w:pPr>
      <w:r w:rsidRPr="00CA1ABA">
        <w:rPr>
          <w:rFonts w:ascii="Times New Roman" w:hAnsi="Times New Roman"/>
          <w:sz w:val="22"/>
          <w:szCs w:val="22"/>
          <w:u w:val="single"/>
        </w:rPr>
        <w:t>Contempt</w:t>
      </w:r>
    </w:p>
    <w:p w14:paraId="25BD1FD5" w14:textId="77777777" w:rsidR="00D54E2E" w:rsidRPr="00CA1ABA" w:rsidRDefault="00D54E2E" w:rsidP="00D54E2E">
      <w:pPr>
        <w:pStyle w:val="BodyText"/>
        <w:spacing w:after="0" w:line="276" w:lineRule="auto"/>
        <w:ind w:left="720"/>
        <w:rPr>
          <w:rFonts w:ascii="Times New Roman" w:hAnsi="Times New Roman"/>
          <w:sz w:val="22"/>
          <w:szCs w:val="22"/>
        </w:rPr>
      </w:pPr>
    </w:p>
    <w:p w14:paraId="637B078B" w14:textId="77777777" w:rsidR="00D54E2E" w:rsidRPr="00CA1ABA" w:rsidRDefault="00D54E2E" w:rsidP="00D54E2E">
      <w:pPr>
        <w:pStyle w:val="ListParagraph"/>
        <w:numPr>
          <w:ilvl w:val="1"/>
          <w:numId w:val="1"/>
        </w:numPr>
        <w:rPr>
          <w:rFonts w:ascii="Times New Roman" w:hAnsi="Times New Roman"/>
          <w:sz w:val="22"/>
          <w:szCs w:val="22"/>
        </w:rPr>
      </w:pPr>
      <w:r w:rsidRPr="00CA1ABA">
        <w:rPr>
          <w:rFonts w:ascii="Times New Roman" w:hAnsi="Times New Roman"/>
          <w:sz w:val="22"/>
          <w:szCs w:val="22"/>
        </w:rPr>
        <w:t>Lawyers and self-represented parties are reminded that contempt is available in the context of an order requiring a person to do an act, or to abstain from doing an act, other than the payment of money (</w:t>
      </w:r>
      <w:r w:rsidRPr="00CA1ABA">
        <w:rPr>
          <w:rFonts w:ascii="Times New Roman" w:hAnsi="Times New Roman"/>
          <w:i/>
          <w:iCs/>
          <w:sz w:val="22"/>
          <w:szCs w:val="22"/>
        </w:rPr>
        <w:t>Rule</w:t>
      </w:r>
      <w:r w:rsidRPr="00CA1ABA">
        <w:rPr>
          <w:rFonts w:ascii="Times New Roman" w:hAnsi="Times New Roman"/>
          <w:b/>
          <w:bCs/>
          <w:sz w:val="22"/>
          <w:szCs w:val="22"/>
        </w:rPr>
        <w:t xml:space="preserve"> </w:t>
      </w:r>
      <w:r w:rsidRPr="00CA1ABA">
        <w:rPr>
          <w:rFonts w:ascii="Times New Roman" w:hAnsi="Times New Roman"/>
          <w:sz w:val="22"/>
          <w:szCs w:val="22"/>
        </w:rPr>
        <w:t>60.12(1)).</w:t>
      </w:r>
    </w:p>
    <w:p w14:paraId="01DD5630" w14:textId="77777777" w:rsidR="00D54E2E" w:rsidRPr="00CA1ABA" w:rsidRDefault="00D54E2E" w:rsidP="00D54E2E">
      <w:pPr>
        <w:contextualSpacing/>
        <w:rPr>
          <w:rFonts w:ascii="Times New Roman" w:hAnsi="Times New Roman"/>
          <w:sz w:val="22"/>
          <w:szCs w:val="22"/>
        </w:rPr>
      </w:pPr>
    </w:p>
    <w:p w14:paraId="23401820" w14:textId="77777777" w:rsidR="00D54E2E" w:rsidRPr="00CA1ABA" w:rsidRDefault="00D54E2E" w:rsidP="00D54E2E">
      <w:pPr>
        <w:pStyle w:val="ListParagraph"/>
        <w:numPr>
          <w:ilvl w:val="1"/>
          <w:numId w:val="1"/>
        </w:numPr>
        <w:rPr>
          <w:rFonts w:ascii="Times New Roman" w:hAnsi="Times New Roman"/>
          <w:sz w:val="22"/>
          <w:szCs w:val="22"/>
        </w:rPr>
      </w:pPr>
      <w:r w:rsidRPr="00CA1ABA">
        <w:rPr>
          <w:rFonts w:ascii="Times New Roman" w:hAnsi="Times New Roman"/>
          <w:sz w:val="22"/>
          <w:szCs w:val="22"/>
        </w:rPr>
        <w:t>The standard of proof required is proof beyond a reasonable doubt. The responding party is afforded the rights an accused would be afforded in a criminal matter, including the right to remain silent.</w:t>
      </w:r>
    </w:p>
    <w:p w14:paraId="6CEA4F4D" w14:textId="77777777" w:rsidR="00D54E2E" w:rsidRPr="00CA1ABA" w:rsidRDefault="00D54E2E" w:rsidP="00D54E2E">
      <w:pPr>
        <w:pStyle w:val="ListParagraph"/>
        <w:rPr>
          <w:rFonts w:ascii="Times New Roman" w:hAnsi="Times New Roman"/>
          <w:sz w:val="22"/>
          <w:szCs w:val="22"/>
        </w:rPr>
      </w:pPr>
    </w:p>
    <w:p w14:paraId="73F13F58" w14:textId="77777777" w:rsidR="00D54E2E" w:rsidRPr="0067309B" w:rsidRDefault="00D54E2E" w:rsidP="00D54E2E">
      <w:pPr>
        <w:pStyle w:val="ListParagraph"/>
        <w:numPr>
          <w:ilvl w:val="1"/>
          <w:numId w:val="1"/>
        </w:numPr>
        <w:rPr>
          <w:rFonts w:ascii="Times New Roman" w:hAnsi="Times New Roman"/>
          <w:sz w:val="22"/>
          <w:szCs w:val="22"/>
          <w:u w:val="single"/>
        </w:rPr>
      </w:pPr>
      <w:r w:rsidRPr="0067309B">
        <w:rPr>
          <w:rFonts w:ascii="Times New Roman" w:hAnsi="Times New Roman"/>
          <w:sz w:val="22"/>
          <w:szCs w:val="22"/>
        </w:rPr>
        <w:t xml:space="preserve">Subject to the discretion of the hearing judge, contempt motions generally proceed in stages </w:t>
      </w:r>
      <w:r w:rsidRPr="004902D1">
        <w:rPr>
          <w:rFonts w:ascii="Times New Roman" w:hAnsi="Times New Roman"/>
          <w:sz w:val="22"/>
          <w:szCs w:val="22"/>
        </w:rPr>
        <w:t>(citation stage, liability stage, and penalty stage, if applicable)</w:t>
      </w:r>
      <w:r w:rsidRPr="0067309B">
        <w:rPr>
          <w:rFonts w:ascii="Times New Roman" w:hAnsi="Times New Roman"/>
          <w:sz w:val="22"/>
          <w:szCs w:val="22"/>
        </w:rPr>
        <w:t xml:space="preserve">. </w:t>
      </w:r>
    </w:p>
    <w:p w14:paraId="09181546" w14:textId="77777777" w:rsidR="00D54E2E" w:rsidRPr="0067309B" w:rsidRDefault="00D54E2E" w:rsidP="00D54E2E">
      <w:pPr>
        <w:pStyle w:val="ListParagraph"/>
        <w:ind w:left="1440"/>
        <w:rPr>
          <w:rFonts w:ascii="Times New Roman" w:hAnsi="Times New Roman"/>
          <w:sz w:val="22"/>
          <w:szCs w:val="22"/>
          <w:u w:val="single"/>
        </w:rPr>
      </w:pPr>
    </w:p>
    <w:p w14:paraId="7BF4CD1B" w14:textId="77777777" w:rsidR="00D54E2E" w:rsidRPr="00B140C2" w:rsidRDefault="00D54E2E" w:rsidP="00D54E2E">
      <w:pPr>
        <w:pStyle w:val="BodyText"/>
        <w:numPr>
          <w:ilvl w:val="0"/>
          <w:numId w:val="1"/>
        </w:numPr>
        <w:spacing w:after="0" w:line="276" w:lineRule="auto"/>
        <w:rPr>
          <w:rFonts w:ascii="Times New Roman" w:hAnsi="Times New Roman"/>
          <w:sz w:val="22"/>
          <w:szCs w:val="22"/>
          <w:u w:val="single"/>
        </w:rPr>
      </w:pPr>
      <w:r w:rsidRPr="00B140C2">
        <w:rPr>
          <w:rFonts w:ascii="Times New Roman" w:hAnsi="Times New Roman"/>
          <w:sz w:val="22"/>
          <w:szCs w:val="22"/>
          <w:u w:val="single"/>
        </w:rPr>
        <w:t>Authorized Hearing Time</w:t>
      </w:r>
    </w:p>
    <w:p w14:paraId="796D8B3A" w14:textId="77777777" w:rsidR="00D54E2E" w:rsidRPr="00886BC7" w:rsidRDefault="00D54E2E" w:rsidP="00D54E2E">
      <w:pPr>
        <w:pStyle w:val="BodyText"/>
        <w:spacing w:line="276" w:lineRule="auto"/>
        <w:ind w:left="1440"/>
        <w:rPr>
          <w:rFonts w:ascii="Times New Roman" w:hAnsi="Times New Roman"/>
          <w:sz w:val="22"/>
          <w:szCs w:val="22"/>
        </w:rPr>
      </w:pPr>
    </w:p>
    <w:p w14:paraId="7A832B2D" w14:textId="77777777" w:rsidR="00D54E2E" w:rsidRPr="00886BC7" w:rsidRDefault="00D54E2E" w:rsidP="00D54E2E">
      <w:pPr>
        <w:pStyle w:val="BodyText"/>
        <w:numPr>
          <w:ilvl w:val="1"/>
          <w:numId w:val="1"/>
        </w:numPr>
        <w:spacing w:after="0" w:line="276" w:lineRule="auto"/>
        <w:rPr>
          <w:rFonts w:ascii="Times New Roman" w:hAnsi="Times New Roman"/>
          <w:sz w:val="22"/>
          <w:szCs w:val="22"/>
        </w:rPr>
      </w:pPr>
      <w:proofErr w:type="gramStart"/>
      <w:r w:rsidRPr="00886BC7">
        <w:rPr>
          <w:rFonts w:ascii="Times New Roman" w:hAnsi="Times New Roman"/>
          <w:sz w:val="22"/>
          <w:szCs w:val="22"/>
        </w:rPr>
        <w:t>In order to</w:t>
      </w:r>
      <w:proofErr w:type="gramEnd"/>
      <w:r w:rsidRPr="00886BC7">
        <w:rPr>
          <w:rFonts w:ascii="Times New Roman" w:hAnsi="Times New Roman"/>
          <w:sz w:val="22"/>
          <w:szCs w:val="22"/>
        </w:rPr>
        <w:t xml:space="preserve"> maximize court and judicial resources, and promote access to justice, every effort is to be made to conclude a hearing within the time that has been authorized by the court.</w:t>
      </w:r>
    </w:p>
    <w:p w14:paraId="151C47F9" w14:textId="77777777" w:rsidR="00D54E2E" w:rsidRPr="00886BC7" w:rsidRDefault="00D54E2E" w:rsidP="00D54E2E">
      <w:pPr>
        <w:pStyle w:val="BodyText"/>
        <w:spacing w:line="276" w:lineRule="auto"/>
        <w:ind w:left="1440"/>
        <w:rPr>
          <w:rFonts w:ascii="Times New Roman" w:hAnsi="Times New Roman"/>
          <w:sz w:val="22"/>
          <w:szCs w:val="22"/>
        </w:rPr>
      </w:pPr>
      <w:r w:rsidRPr="00886BC7">
        <w:rPr>
          <w:rFonts w:ascii="Times New Roman" w:hAnsi="Times New Roman"/>
          <w:sz w:val="22"/>
          <w:szCs w:val="22"/>
        </w:rPr>
        <w:t xml:space="preserve"> </w:t>
      </w:r>
    </w:p>
    <w:p w14:paraId="7901E136" w14:textId="77777777" w:rsidR="00D54E2E" w:rsidRPr="00886BC7" w:rsidRDefault="00D54E2E" w:rsidP="00D54E2E">
      <w:pPr>
        <w:pStyle w:val="BodyText"/>
        <w:numPr>
          <w:ilvl w:val="1"/>
          <w:numId w:val="1"/>
        </w:numPr>
        <w:spacing w:after="0" w:line="276" w:lineRule="auto"/>
        <w:rPr>
          <w:rFonts w:ascii="Times New Roman" w:hAnsi="Times New Roman"/>
          <w:sz w:val="22"/>
          <w:szCs w:val="22"/>
        </w:rPr>
      </w:pPr>
      <w:r w:rsidRPr="00886BC7">
        <w:rPr>
          <w:rFonts w:ascii="Times New Roman" w:hAnsi="Times New Roman"/>
          <w:sz w:val="22"/>
          <w:szCs w:val="22"/>
        </w:rPr>
        <w:t xml:space="preserve">Frequently, the time authorized for a hearing will be determined through </w:t>
      </w:r>
      <w:proofErr w:type="gramStart"/>
      <w:r w:rsidRPr="00886BC7">
        <w:rPr>
          <w:rFonts w:ascii="Times New Roman" w:hAnsi="Times New Roman"/>
          <w:sz w:val="22"/>
          <w:szCs w:val="22"/>
        </w:rPr>
        <w:t>the case</w:t>
      </w:r>
      <w:proofErr w:type="gramEnd"/>
      <w:r w:rsidRPr="00886BC7">
        <w:rPr>
          <w:rFonts w:ascii="Times New Roman" w:hAnsi="Times New Roman"/>
          <w:sz w:val="22"/>
          <w:szCs w:val="22"/>
        </w:rPr>
        <w:t xml:space="preserve"> management, pre-motion, pre-trial, or summary judgment triage regime. </w:t>
      </w:r>
      <w:r>
        <w:rPr>
          <w:rFonts w:ascii="Times New Roman" w:hAnsi="Times New Roman"/>
          <w:sz w:val="22"/>
          <w:szCs w:val="22"/>
        </w:rPr>
        <w:t>However, w</w:t>
      </w:r>
      <w:r w:rsidRPr="00886BC7">
        <w:rPr>
          <w:rFonts w:ascii="Times New Roman" w:hAnsi="Times New Roman"/>
          <w:sz w:val="22"/>
          <w:szCs w:val="22"/>
        </w:rPr>
        <w:t xml:space="preserve">here a lawyer or self-represented party is seeking narrow relief and the hearing is anticipated to be relatively brief, the lawyer or self-represented party may contact the trial coordinator, estimate the time required for the hearing, and provide any additional information as requested by the trial coordinator. </w:t>
      </w:r>
    </w:p>
    <w:p w14:paraId="5829D8F0" w14:textId="77777777" w:rsidR="00D54E2E" w:rsidRPr="00886BC7" w:rsidRDefault="00D54E2E" w:rsidP="00D54E2E">
      <w:pPr>
        <w:pStyle w:val="ListParagraph"/>
        <w:rPr>
          <w:rFonts w:ascii="Times New Roman" w:hAnsi="Times New Roman"/>
          <w:sz w:val="22"/>
          <w:szCs w:val="22"/>
        </w:rPr>
      </w:pPr>
    </w:p>
    <w:p w14:paraId="587466FF" w14:textId="77777777" w:rsidR="00D54E2E" w:rsidRPr="00886BC7" w:rsidRDefault="00D54E2E" w:rsidP="00D54E2E">
      <w:pPr>
        <w:spacing w:line="276" w:lineRule="auto"/>
        <w:rPr>
          <w:rFonts w:ascii="Times New Roman" w:hAnsi="Times New Roman"/>
          <w:sz w:val="22"/>
          <w:szCs w:val="22"/>
        </w:rPr>
      </w:pPr>
    </w:p>
    <w:p w14:paraId="04A02F7D" w14:textId="77777777" w:rsidR="00D54E2E" w:rsidRPr="00B140C2" w:rsidRDefault="00D54E2E" w:rsidP="00D54E2E">
      <w:pPr>
        <w:pStyle w:val="ListParagraph"/>
        <w:numPr>
          <w:ilvl w:val="0"/>
          <w:numId w:val="1"/>
        </w:numPr>
        <w:spacing w:line="276" w:lineRule="auto"/>
        <w:rPr>
          <w:rFonts w:ascii="Times New Roman" w:hAnsi="Times New Roman"/>
          <w:sz w:val="22"/>
          <w:szCs w:val="22"/>
          <w:u w:val="single"/>
        </w:rPr>
      </w:pPr>
      <w:r w:rsidRPr="00B140C2">
        <w:rPr>
          <w:rFonts w:ascii="Times New Roman" w:hAnsi="Times New Roman"/>
          <w:sz w:val="22"/>
          <w:szCs w:val="22"/>
          <w:u w:val="single"/>
        </w:rPr>
        <w:t xml:space="preserve">Leave Required for Cross-Examination </w:t>
      </w:r>
    </w:p>
    <w:p w14:paraId="104A82A3" w14:textId="77777777" w:rsidR="00D54E2E" w:rsidRPr="00886BC7" w:rsidRDefault="00D54E2E" w:rsidP="00D54E2E">
      <w:pPr>
        <w:pStyle w:val="ListParagraph"/>
        <w:spacing w:line="276" w:lineRule="auto"/>
        <w:rPr>
          <w:rFonts w:ascii="Times New Roman" w:hAnsi="Times New Roman"/>
          <w:sz w:val="22"/>
          <w:szCs w:val="22"/>
        </w:rPr>
      </w:pPr>
    </w:p>
    <w:p w14:paraId="158271D9" w14:textId="77777777" w:rsidR="00D54E2E" w:rsidRPr="00886BC7" w:rsidRDefault="00D54E2E" w:rsidP="00D54E2E">
      <w:pPr>
        <w:pStyle w:val="ListParagraph"/>
        <w:numPr>
          <w:ilvl w:val="1"/>
          <w:numId w:val="1"/>
        </w:numPr>
        <w:spacing w:line="276" w:lineRule="auto"/>
        <w:rPr>
          <w:rFonts w:ascii="Times New Roman" w:hAnsi="Times New Roman"/>
          <w:sz w:val="22"/>
          <w:szCs w:val="22"/>
        </w:rPr>
      </w:pPr>
      <w:r w:rsidRPr="00886BC7">
        <w:rPr>
          <w:rFonts w:ascii="Times New Roman" w:hAnsi="Times New Roman"/>
          <w:sz w:val="22"/>
          <w:szCs w:val="22"/>
        </w:rPr>
        <w:t xml:space="preserve">Leave from the </w:t>
      </w:r>
      <w:r w:rsidRPr="00F50EE9">
        <w:rPr>
          <w:rFonts w:ascii="Times New Roman" w:hAnsi="Times New Roman"/>
          <w:sz w:val="22"/>
          <w:szCs w:val="22"/>
        </w:rPr>
        <w:t>court is generally required for a lawyer or self-represented party to cross-examine a witness during the hearing of a motion</w:t>
      </w:r>
      <w:r w:rsidRPr="00886BC7">
        <w:rPr>
          <w:rFonts w:ascii="Times New Roman" w:hAnsi="Times New Roman"/>
          <w:sz w:val="22"/>
          <w:szCs w:val="22"/>
        </w:rPr>
        <w:t xml:space="preserve"> or an application. </w:t>
      </w:r>
    </w:p>
    <w:p w14:paraId="48564203" w14:textId="77777777" w:rsidR="00D54E2E" w:rsidRPr="00886BC7" w:rsidRDefault="00D54E2E" w:rsidP="00D54E2E">
      <w:pPr>
        <w:pStyle w:val="ListParagraph"/>
        <w:spacing w:line="276" w:lineRule="auto"/>
        <w:ind w:left="1440"/>
        <w:rPr>
          <w:rFonts w:ascii="Times New Roman" w:hAnsi="Times New Roman"/>
          <w:sz w:val="22"/>
          <w:szCs w:val="22"/>
        </w:rPr>
      </w:pPr>
    </w:p>
    <w:p w14:paraId="302F3F10" w14:textId="77777777" w:rsidR="00D54E2E" w:rsidRDefault="00D54E2E" w:rsidP="00D54E2E">
      <w:pPr>
        <w:pStyle w:val="ListParagraph"/>
        <w:numPr>
          <w:ilvl w:val="1"/>
          <w:numId w:val="1"/>
        </w:numPr>
        <w:spacing w:line="276" w:lineRule="auto"/>
        <w:rPr>
          <w:rFonts w:ascii="Times New Roman" w:hAnsi="Times New Roman"/>
          <w:sz w:val="22"/>
          <w:szCs w:val="22"/>
        </w:rPr>
      </w:pPr>
      <w:r>
        <w:rPr>
          <w:rFonts w:ascii="Times New Roman" w:hAnsi="Times New Roman"/>
          <w:sz w:val="22"/>
          <w:szCs w:val="22"/>
        </w:rPr>
        <w:t xml:space="preserve">Subject to the discretion of the presiding judge, leave is generally not required to cross-examine a witness on their affidavit where parenting time, decision-making responsibility, child support or spousal support are at issue. </w:t>
      </w:r>
    </w:p>
    <w:p w14:paraId="0ED37B0A" w14:textId="77777777" w:rsidR="00ED1BFF" w:rsidRDefault="00ED1BFF"/>
    <w:sectPr w:rsidR="00ED1B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4877D" w14:textId="77777777" w:rsidR="00697E52" w:rsidRDefault="00697E52" w:rsidP="00697E52">
      <w:r>
        <w:separator/>
      </w:r>
    </w:p>
  </w:endnote>
  <w:endnote w:type="continuationSeparator" w:id="0">
    <w:p w14:paraId="59D1352A" w14:textId="77777777" w:rsidR="00697E52" w:rsidRDefault="00697E52" w:rsidP="0069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428330"/>
      <w:docPartObj>
        <w:docPartGallery w:val="Page Numbers (Bottom of Page)"/>
        <w:docPartUnique/>
      </w:docPartObj>
    </w:sdtPr>
    <w:sdtEndPr>
      <w:rPr>
        <w:noProof/>
      </w:rPr>
    </w:sdtEndPr>
    <w:sdtContent>
      <w:p w14:paraId="7F5D71A7" w14:textId="1B9E668E" w:rsidR="00697E52" w:rsidRDefault="00697E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A5029C" w14:textId="77777777" w:rsidR="00697E52" w:rsidRDefault="00697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9EB87" w14:textId="77777777" w:rsidR="00697E52" w:rsidRDefault="00697E52" w:rsidP="00697E52">
      <w:r>
        <w:separator/>
      </w:r>
    </w:p>
  </w:footnote>
  <w:footnote w:type="continuationSeparator" w:id="0">
    <w:p w14:paraId="6DA750E9" w14:textId="77777777" w:rsidR="00697E52" w:rsidRDefault="00697E52" w:rsidP="0069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17A8"/>
    <w:multiLevelType w:val="hybridMultilevel"/>
    <w:tmpl w:val="A3A46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58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2E"/>
    <w:rsid w:val="000824AF"/>
    <w:rsid w:val="003E4C92"/>
    <w:rsid w:val="00424F8B"/>
    <w:rsid w:val="004B03A6"/>
    <w:rsid w:val="004C60FA"/>
    <w:rsid w:val="00697E52"/>
    <w:rsid w:val="008D7D56"/>
    <w:rsid w:val="009230C7"/>
    <w:rsid w:val="00B42811"/>
    <w:rsid w:val="00D54E2E"/>
    <w:rsid w:val="00D62ABD"/>
    <w:rsid w:val="00E864A0"/>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FD47"/>
  <w15:chartTrackingRefBased/>
  <w15:docId w15:val="{FBCD8AAE-E86D-444A-8D8E-14BB7441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E2E"/>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D54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E2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E2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4E2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4E2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4E2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4E2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4E2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E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E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E2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E2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4E2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4E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4E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4E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4E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4E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E2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E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4E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4E2E"/>
    <w:rPr>
      <w:i/>
      <w:iCs/>
      <w:color w:val="404040" w:themeColor="text1" w:themeTint="BF"/>
    </w:rPr>
  </w:style>
  <w:style w:type="paragraph" w:styleId="ListParagraph">
    <w:name w:val="List Paragraph"/>
    <w:basedOn w:val="Normal"/>
    <w:uiPriority w:val="34"/>
    <w:qFormat/>
    <w:rsid w:val="00D54E2E"/>
    <w:pPr>
      <w:ind w:left="720"/>
      <w:contextualSpacing/>
    </w:pPr>
  </w:style>
  <w:style w:type="character" w:styleId="IntenseEmphasis">
    <w:name w:val="Intense Emphasis"/>
    <w:basedOn w:val="DefaultParagraphFont"/>
    <w:uiPriority w:val="21"/>
    <w:qFormat/>
    <w:rsid w:val="00D54E2E"/>
    <w:rPr>
      <w:i/>
      <w:iCs/>
      <w:color w:val="0F4761" w:themeColor="accent1" w:themeShade="BF"/>
    </w:rPr>
  </w:style>
  <w:style w:type="paragraph" w:styleId="IntenseQuote">
    <w:name w:val="Intense Quote"/>
    <w:basedOn w:val="Normal"/>
    <w:next w:val="Normal"/>
    <w:link w:val="IntenseQuoteChar"/>
    <w:uiPriority w:val="30"/>
    <w:qFormat/>
    <w:rsid w:val="00D54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E2E"/>
    <w:rPr>
      <w:i/>
      <w:iCs/>
      <w:color w:val="0F4761" w:themeColor="accent1" w:themeShade="BF"/>
    </w:rPr>
  </w:style>
  <w:style w:type="character" w:styleId="IntenseReference">
    <w:name w:val="Intense Reference"/>
    <w:basedOn w:val="DefaultParagraphFont"/>
    <w:uiPriority w:val="32"/>
    <w:qFormat/>
    <w:rsid w:val="00D54E2E"/>
    <w:rPr>
      <w:b/>
      <w:bCs/>
      <w:smallCaps/>
      <w:color w:val="0F4761" w:themeColor="accent1" w:themeShade="BF"/>
      <w:spacing w:val="5"/>
    </w:rPr>
  </w:style>
  <w:style w:type="paragraph" w:customStyle="1" w:styleId="PRACTICENOTE">
    <w:name w:val="PRACTICENOTE"/>
    <w:basedOn w:val="Normal"/>
    <w:rsid w:val="00D54E2E"/>
    <w:pPr>
      <w:spacing w:after="116" w:line="216" w:lineRule="auto"/>
      <w:jc w:val="center"/>
    </w:pPr>
    <w:rPr>
      <w:rFonts w:ascii="Times New Roman" w:hAnsi="Times New Roman"/>
      <w:b/>
      <w:lang w:val="en-GB"/>
    </w:rPr>
  </w:style>
  <w:style w:type="paragraph" w:customStyle="1" w:styleId="PRACTICETITLE">
    <w:name w:val="PRACTICETITLE"/>
    <w:basedOn w:val="PRACTICENOTE"/>
    <w:rsid w:val="00D54E2E"/>
    <w:pPr>
      <w:spacing w:after="0"/>
    </w:pPr>
  </w:style>
  <w:style w:type="paragraph" w:styleId="BodyText">
    <w:name w:val="Body Text"/>
    <w:basedOn w:val="Normal"/>
    <w:link w:val="BodyTextChar"/>
    <w:uiPriority w:val="99"/>
    <w:unhideWhenUsed/>
    <w:rsid w:val="00D54E2E"/>
    <w:pPr>
      <w:spacing w:after="120"/>
    </w:pPr>
  </w:style>
  <w:style w:type="character" w:customStyle="1" w:styleId="BodyTextChar">
    <w:name w:val="Body Text Char"/>
    <w:basedOn w:val="DefaultParagraphFont"/>
    <w:link w:val="BodyText"/>
    <w:uiPriority w:val="99"/>
    <w:rsid w:val="00D54E2E"/>
    <w:rPr>
      <w:rFonts w:ascii="CG Omega" w:eastAsia="Times New Roman" w:hAnsi="CG Omega" w:cs="Times New Roman"/>
      <w:kern w:val="0"/>
      <w:sz w:val="20"/>
      <w14:ligatures w14:val="none"/>
    </w:rPr>
  </w:style>
  <w:style w:type="paragraph" w:styleId="Header">
    <w:name w:val="header"/>
    <w:basedOn w:val="Normal"/>
    <w:link w:val="HeaderChar"/>
    <w:uiPriority w:val="99"/>
    <w:unhideWhenUsed/>
    <w:rsid w:val="00697E52"/>
    <w:pPr>
      <w:tabs>
        <w:tab w:val="center" w:pos="4680"/>
        <w:tab w:val="right" w:pos="9360"/>
      </w:tabs>
    </w:pPr>
  </w:style>
  <w:style w:type="character" w:customStyle="1" w:styleId="HeaderChar">
    <w:name w:val="Header Char"/>
    <w:basedOn w:val="DefaultParagraphFont"/>
    <w:link w:val="Header"/>
    <w:uiPriority w:val="99"/>
    <w:rsid w:val="00697E52"/>
    <w:rPr>
      <w:rFonts w:ascii="CG Omega" w:eastAsia="Times New Roman" w:hAnsi="CG Omega" w:cs="Times New Roman"/>
      <w:kern w:val="0"/>
      <w:sz w:val="20"/>
      <w14:ligatures w14:val="none"/>
    </w:rPr>
  </w:style>
  <w:style w:type="paragraph" w:styleId="Footer">
    <w:name w:val="footer"/>
    <w:basedOn w:val="Normal"/>
    <w:link w:val="FooterChar"/>
    <w:uiPriority w:val="99"/>
    <w:unhideWhenUsed/>
    <w:rsid w:val="00697E52"/>
    <w:pPr>
      <w:tabs>
        <w:tab w:val="center" w:pos="4680"/>
        <w:tab w:val="right" w:pos="9360"/>
      </w:tabs>
    </w:pPr>
  </w:style>
  <w:style w:type="character" w:customStyle="1" w:styleId="FooterChar">
    <w:name w:val="Footer Char"/>
    <w:basedOn w:val="DefaultParagraphFont"/>
    <w:link w:val="Footer"/>
    <w:uiPriority w:val="99"/>
    <w:rsid w:val="00697E52"/>
    <w:rPr>
      <w:rFonts w:ascii="CG Omega" w:eastAsia="Times New Roman" w:hAnsi="CG Omega"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3278</Characters>
  <Application>Microsoft Office Word</Application>
  <DocSecurity>0</DocSecurity>
  <Lines>27</Lines>
  <Paragraphs>7</Paragraphs>
  <ScaleCrop>false</ScaleCrop>
  <Company>ITSS</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Karen Rose</cp:lastModifiedBy>
  <cp:revision>2</cp:revision>
  <dcterms:created xsi:type="dcterms:W3CDTF">2025-08-25T13:39:00Z</dcterms:created>
  <dcterms:modified xsi:type="dcterms:W3CDTF">2025-08-25T16:35:00Z</dcterms:modified>
</cp:coreProperties>
</file>