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DD92" w14:textId="77777777" w:rsidR="00872789" w:rsidRPr="00872789" w:rsidRDefault="00872789" w:rsidP="00872789">
      <w:pPr>
        <w:widowControl w:val="0"/>
        <w:autoSpaceDE w:val="0"/>
        <w:autoSpaceDN w:val="0"/>
        <w:adjustRightInd w:val="0"/>
        <w:spacing w:line="276" w:lineRule="auto"/>
        <w:jc w:val="center"/>
        <w:rPr>
          <w:rFonts w:ascii="Times New Roman" w:eastAsia="Times New Roman" w:hAnsi="Times New Roman" w:cs="Times New Roman"/>
          <w:b/>
          <w:bCs/>
          <w:kern w:val="0"/>
          <w:sz w:val="22"/>
          <w:szCs w:val="22"/>
          <w14:ligatures w14:val="none"/>
        </w:rPr>
      </w:pPr>
      <w:bookmarkStart w:id="0" w:name="_Hlk201305615"/>
      <w:r w:rsidRPr="00872789">
        <w:rPr>
          <w:rFonts w:ascii="Times New Roman" w:eastAsia="Times New Roman" w:hAnsi="Times New Roman" w:cs="Times New Roman"/>
          <w:b/>
          <w:bCs/>
          <w:kern w:val="0"/>
          <w:sz w:val="22"/>
          <w:szCs w:val="22"/>
          <w14:ligatures w14:val="none"/>
        </w:rPr>
        <w:t xml:space="preserve">G. </w:t>
      </w:r>
      <w:bookmarkStart w:id="1" w:name="_Hlk200970404"/>
      <w:r w:rsidRPr="00872789">
        <w:rPr>
          <w:rFonts w:ascii="Times New Roman" w:eastAsia="Times New Roman" w:hAnsi="Times New Roman" w:cs="Times New Roman"/>
          <w:b/>
          <w:bCs/>
          <w:kern w:val="0"/>
          <w:sz w:val="22"/>
          <w:szCs w:val="22"/>
          <w14:ligatures w14:val="none"/>
        </w:rPr>
        <w:t xml:space="preserve">    OATHS AND AFFIRMATIONS</w:t>
      </w:r>
    </w:p>
    <w:bookmarkEnd w:id="1"/>
    <w:p w14:paraId="7DA12C43" w14:textId="77777777" w:rsidR="00872789" w:rsidRPr="00872789" w:rsidRDefault="00872789" w:rsidP="00872789">
      <w:pPr>
        <w:widowControl w:val="0"/>
        <w:autoSpaceDE w:val="0"/>
        <w:autoSpaceDN w:val="0"/>
        <w:adjustRightInd w:val="0"/>
        <w:spacing w:line="276" w:lineRule="auto"/>
        <w:jc w:val="center"/>
        <w:rPr>
          <w:rFonts w:ascii="Times New Roman" w:eastAsia="Times New Roman" w:hAnsi="Times New Roman" w:cs="Times New Roman"/>
          <w:b/>
          <w:bCs/>
          <w:kern w:val="0"/>
          <w:sz w:val="22"/>
          <w:szCs w:val="22"/>
          <w14:ligatures w14:val="none"/>
        </w:rPr>
      </w:pPr>
      <w:r w:rsidRPr="00872789">
        <w:rPr>
          <w:rFonts w:ascii="Times New Roman" w:eastAsia="Times New Roman" w:hAnsi="Times New Roman" w:cs="Times New Roman"/>
          <w:b/>
          <w:bCs/>
          <w:kern w:val="0"/>
          <w:sz w:val="22"/>
          <w:szCs w:val="22"/>
          <w14:ligatures w14:val="none"/>
        </w:rPr>
        <w:t>(Joint Practice Direction of the Court of Appeal and Supreme Court)</w:t>
      </w:r>
    </w:p>
    <w:p w14:paraId="2B2BFADB" w14:textId="77777777" w:rsidR="00872789" w:rsidRPr="00872789" w:rsidRDefault="00872789" w:rsidP="00872789">
      <w:pPr>
        <w:widowControl w:val="0"/>
        <w:autoSpaceDE w:val="0"/>
        <w:autoSpaceDN w:val="0"/>
        <w:adjustRightInd w:val="0"/>
        <w:spacing w:line="276" w:lineRule="auto"/>
        <w:rPr>
          <w:rFonts w:ascii="Times New Roman" w:eastAsia="Times New Roman" w:hAnsi="Times New Roman" w:cs="Times New Roman"/>
          <w:b/>
          <w:bCs/>
          <w:kern w:val="0"/>
          <w:sz w:val="22"/>
          <w:szCs w:val="22"/>
          <w14:ligatures w14:val="none"/>
        </w:rPr>
      </w:pPr>
    </w:p>
    <w:p w14:paraId="5143686B" w14:textId="77777777" w:rsidR="00872789" w:rsidRPr="00872789" w:rsidRDefault="00872789" w:rsidP="00872789">
      <w:pPr>
        <w:widowControl w:val="0"/>
        <w:numPr>
          <w:ilvl w:val="0"/>
          <w:numId w:val="1"/>
        </w:numPr>
        <w:autoSpaceDE w:val="0"/>
        <w:autoSpaceDN w:val="0"/>
        <w:adjustRightInd w:val="0"/>
        <w:spacing w:after="200" w:line="276" w:lineRule="auto"/>
        <w:contextualSpacing/>
        <w:rPr>
          <w:rFonts w:ascii="Times New Roman" w:eastAsia="Times New Roman" w:hAnsi="Times New Roman" w:cs="Times New Roman"/>
          <w:kern w:val="0"/>
          <w:sz w:val="22"/>
          <w:szCs w:val="22"/>
          <w:u w:val="single"/>
          <w14:ligatures w14:val="none"/>
        </w:rPr>
      </w:pPr>
      <w:r w:rsidRPr="00872789">
        <w:rPr>
          <w:rFonts w:ascii="Times New Roman" w:eastAsia="Times New Roman" w:hAnsi="Times New Roman" w:cs="Times New Roman"/>
          <w:kern w:val="0"/>
          <w:sz w:val="22"/>
          <w:szCs w:val="22"/>
          <w:u w:val="single"/>
          <w14:ligatures w14:val="none"/>
        </w:rPr>
        <w:t>Oath or Affirmation</w:t>
      </w:r>
    </w:p>
    <w:p w14:paraId="2209A7F1" w14:textId="77777777" w:rsidR="00872789" w:rsidRPr="00872789" w:rsidRDefault="00872789" w:rsidP="00872789">
      <w:pPr>
        <w:spacing w:after="200" w:line="276" w:lineRule="auto"/>
        <w:ind w:left="720"/>
        <w:contextualSpacing/>
        <w:rPr>
          <w:rFonts w:ascii="Times New Roman" w:eastAsia="Times New Roman" w:hAnsi="Times New Roman" w:cs="Times New Roman"/>
          <w:kern w:val="0"/>
          <w:sz w:val="22"/>
          <w:szCs w:val="22"/>
          <w:u w:val="single"/>
          <w14:ligatures w14:val="none"/>
        </w:rPr>
      </w:pPr>
    </w:p>
    <w:p w14:paraId="677C7E92" w14:textId="77777777" w:rsidR="00872789" w:rsidRPr="00872789" w:rsidRDefault="00872789" w:rsidP="00872789">
      <w:pPr>
        <w:widowControl w:val="0"/>
        <w:numPr>
          <w:ilvl w:val="1"/>
          <w:numId w:val="1"/>
        </w:numPr>
        <w:autoSpaceDE w:val="0"/>
        <w:autoSpaceDN w:val="0"/>
        <w:adjustRightInd w:val="0"/>
        <w:spacing w:line="276" w:lineRule="auto"/>
        <w:contextualSpacing/>
        <w:rPr>
          <w:rFonts w:ascii="Times New Roman" w:eastAsia="Times New Roman" w:hAnsi="Times New Roman" w:cs="Times New Roman"/>
          <w:kern w:val="0"/>
          <w:sz w:val="22"/>
          <w:szCs w:val="22"/>
          <w14:ligatures w14:val="none"/>
        </w:rPr>
      </w:pPr>
      <w:r w:rsidRPr="00872789">
        <w:rPr>
          <w:rFonts w:ascii="Times New Roman" w:eastAsia="Times New Roman" w:hAnsi="Times New Roman" w:cs="Times New Roman"/>
          <w:kern w:val="0"/>
          <w:sz w:val="22"/>
          <w:szCs w:val="22"/>
          <w14:ligatures w14:val="none"/>
        </w:rPr>
        <w:t xml:space="preserve">To swear an oath is to give a religious promise to tell the truth. To give a solemn affirmation is to give a non-religious promise to tell the truth. </w:t>
      </w:r>
    </w:p>
    <w:p w14:paraId="2E10A5D2" w14:textId="77777777" w:rsidR="00872789" w:rsidRPr="00872789" w:rsidRDefault="00872789" w:rsidP="00872789">
      <w:pPr>
        <w:widowControl w:val="0"/>
        <w:autoSpaceDE w:val="0"/>
        <w:autoSpaceDN w:val="0"/>
        <w:adjustRightInd w:val="0"/>
        <w:spacing w:line="276" w:lineRule="auto"/>
        <w:ind w:left="720"/>
        <w:contextualSpacing/>
        <w:rPr>
          <w:rFonts w:ascii="Times New Roman" w:eastAsia="Times New Roman" w:hAnsi="Times New Roman" w:cs="Times New Roman"/>
          <w:kern w:val="0"/>
          <w:sz w:val="22"/>
          <w:szCs w:val="22"/>
          <w14:ligatures w14:val="none"/>
        </w:rPr>
      </w:pPr>
    </w:p>
    <w:p w14:paraId="4FB629A7" w14:textId="77777777" w:rsidR="00872789" w:rsidRPr="00872789" w:rsidRDefault="00872789" w:rsidP="00872789">
      <w:pPr>
        <w:widowControl w:val="0"/>
        <w:numPr>
          <w:ilvl w:val="1"/>
          <w:numId w:val="1"/>
        </w:numPr>
        <w:autoSpaceDE w:val="0"/>
        <w:autoSpaceDN w:val="0"/>
        <w:adjustRightInd w:val="0"/>
        <w:spacing w:line="276" w:lineRule="auto"/>
        <w:contextualSpacing/>
        <w:rPr>
          <w:rFonts w:ascii="Times New Roman" w:eastAsia="Times New Roman" w:hAnsi="Times New Roman" w:cs="Times New Roman"/>
          <w:kern w:val="0"/>
          <w:sz w:val="22"/>
          <w:szCs w:val="22"/>
          <w14:ligatures w14:val="none"/>
        </w:rPr>
      </w:pPr>
      <w:r w:rsidRPr="00872789">
        <w:rPr>
          <w:rFonts w:ascii="Times New Roman" w:eastAsia="Times New Roman" w:hAnsi="Times New Roman" w:cs="Times New Roman"/>
          <w:kern w:val="0"/>
          <w:sz w:val="22"/>
          <w:szCs w:val="22"/>
          <w14:ligatures w14:val="none"/>
        </w:rPr>
        <w:t xml:space="preserve">The court offers witnesses a choice whether to swear an oath or to give </w:t>
      </w:r>
      <w:proofErr w:type="gramStart"/>
      <w:r w:rsidRPr="00872789">
        <w:rPr>
          <w:rFonts w:ascii="Times New Roman" w:eastAsia="Times New Roman" w:hAnsi="Times New Roman" w:cs="Times New Roman"/>
          <w:kern w:val="0"/>
          <w:sz w:val="22"/>
          <w:szCs w:val="22"/>
          <w14:ligatures w14:val="none"/>
        </w:rPr>
        <w:t>a solemn</w:t>
      </w:r>
      <w:proofErr w:type="gramEnd"/>
      <w:r w:rsidRPr="00872789">
        <w:rPr>
          <w:rFonts w:ascii="Times New Roman" w:eastAsia="Times New Roman" w:hAnsi="Times New Roman" w:cs="Times New Roman"/>
          <w:kern w:val="0"/>
          <w:sz w:val="22"/>
          <w:szCs w:val="22"/>
          <w14:ligatures w14:val="none"/>
        </w:rPr>
        <w:t xml:space="preserve"> affirmation. The clerk of the court proceeding asks the witness if they prefer to swear an oath, or to give a solemn affirmation. </w:t>
      </w:r>
    </w:p>
    <w:p w14:paraId="1A68C6A2" w14:textId="77777777" w:rsidR="00872789" w:rsidRPr="00872789" w:rsidRDefault="00872789" w:rsidP="00872789">
      <w:pPr>
        <w:widowControl w:val="0"/>
        <w:autoSpaceDE w:val="0"/>
        <w:autoSpaceDN w:val="0"/>
        <w:adjustRightInd w:val="0"/>
        <w:spacing w:line="276" w:lineRule="auto"/>
        <w:ind w:left="720"/>
        <w:contextualSpacing/>
        <w:rPr>
          <w:rFonts w:ascii="Times New Roman" w:eastAsia="Times New Roman" w:hAnsi="Times New Roman" w:cs="Times New Roman"/>
          <w:kern w:val="0"/>
          <w:sz w:val="22"/>
          <w:szCs w:val="22"/>
          <w14:ligatures w14:val="none"/>
        </w:rPr>
      </w:pPr>
    </w:p>
    <w:p w14:paraId="4098FBF5" w14:textId="77777777" w:rsidR="00872789" w:rsidRPr="00872789" w:rsidRDefault="00872789" w:rsidP="00872789">
      <w:pPr>
        <w:widowControl w:val="0"/>
        <w:numPr>
          <w:ilvl w:val="1"/>
          <w:numId w:val="1"/>
        </w:numPr>
        <w:autoSpaceDE w:val="0"/>
        <w:autoSpaceDN w:val="0"/>
        <w:adjustRightInd w:val="0"/>
        <w:spacing w:line="276" w:lineRule="auto"/>
        <w:contextualSpacing/>
        <w:rPr>
          <w:rFonts w:ascii="Times New Roman" w:eastAsia="Times New Roman" w:hAnsi="Times New Roman" w:cs="Times New Roman"/>
          <w:kern w:val="0"/>
          <w:sz w:val="22"/>
          <w:szCs w:val="22"/>
          <w14:ligatures w14:val="none"/>
        </w:rPr>
      </w:pPr>
      <w:r w:rsidRPr="00872789">
        <w:rPr>
          <w:rFonts w:ascii="Times New Roman" w:eastAsia="Times New Roman" w:hAnsi="Times New Roman" w:cs="Times New Roman"/>
          <w:kern w:val="0"/>
          <w:sz w:val="22"/>
          <w:szCs w:val="22"/>
          <w14:ligatures w14:val="none"/>
        </w:rPr>
        <w:t xml:space="preserve">The preference to swear an oath or to give a solemn affirmation should be consistent with the individual’s beliefs to bind their conscience, in accordance with the </w:t>
      </w:r>
      <w:r w:rsidRPr="00872789">
        <w:rPr>
          <w:rFonts w:ascii="Times New Roman" w:eastAsia="Times New Roman" w:hAnsi="Times New Roman" w:cs="Times New Roman"/>
          <w:i/>
          <w:iCs/>
          <w:kern w:val="0"/>
          <w:sz w:val="22"/>
          <w:szCs w:val="22"/>
          <w14:ligatures w14:val="none"/>
        </w:rPr>
        <w:t xml:space="preserve">Evidence Act, </w:t>
      </w:r>
      <w:r w:rsidRPr="00872789">
        <w:rPr>
          <w:rFonts w:ascii="Times New Roman" w:eastAsia="Times New Roman" w:hAnsi="Times New Roman" w:cs="Times New Roman"/>
          <w:kern w:val="0"/>
          <w:sz w:val="22"/>
          <w:szCs w:val="22"/>
          <w14:ligatures w14:val="none"/>
        </w:rPr>
        <w:t xml:space="preserve">RSPEI 1988, Cap. E-11. </w:t>
      </w:r>
    </w:p>
    <w:p w14:paraId="4806CE4E" w14:textId="77777777" w:rsidR="00872789" w:rsidRPr="00872789" w:rsidRDefault="00872789" w:rsidP="00872789">
      <w:pPr>
        <w:spacing w:after="200" w:line="276" w:lineRule="auto"/>
        <w:rPr>
          <w:rFonts w:ascii="Times New Roman" w:eastAsia="Times New Roman" w:hAnsi="Times New Roman" w:cs="Times New Roman"/>
          <w:b/>
          <w:bCs/>
          <w:kern w:val="0"/>
          <w:sz w:val="22"/>
          <w:szCs w:val="22"/>
          <w14:ligatures w14:val="none"/>
        </w:rPr>
      </w:pPr>
    </w:p>
    <w:p w14:paraId="48255A2E" w14:textId="77777777" w:rsidR="00872789" w:rsidRPr="00872789" w:rsidRDefault="00872789" w:rsidP="00872789">
      <w:pPr>
        <w:widowControl w:val="0"/>
        <w:numPr>
          <w:ilvl w:val="0"/>
          <w:numId w:val="1"/>
        </w:numPr>
        <w:autoSpaceDE w:val="0"/>
        <w:autoSpaceDN w:val="0"/>
        <w:adjustRightInd w:val="0"/>
        <w:spacing w:after="200" w:line="276" w:lineRule="auto"/>
        <w:contextualSpacing/>
        <w:rPr>
          <w:rFonts w:ascii="Times New Roman" w:eastAsia="Times New Roman" w:hAnsi="Times New Roman" w:cs="Times New Roman"/>
          <w:kern w:val="0"/>
          <w:sz w:val="22"/>
          <w:szCs w:val="22"/>
          <w:u w:val="single"/>
          <w14:ligatures w14:val="none"/>
        </w:rPr>
      </w:pPr>
      <w:r w:rsidRPr="00872789">
        <w:rPr>
          <w:rFonts w:ascii="Times New Roman" w:eastAsia="Times New Roman" w:hAnsi="Times New Roman" w:cs="Times New Roman"/>
          <w:kern w:val="0"/>
          <w:sz w:val="22"/>
          <w:szCs w:val="22"/>
          <w:u w:val="single"/>
          <w14:ligatures w14:val="none"/>
        </w:rPr>
        <w:t>Eagle Feather</w:t>
      </w:r>
    </w:p>
    <w:p w14:paraId="22139728" w14:textId="77777777" w:rsidR="00EF0D95" w:rsidRDefault="00EF0D95" w:rsidP="00872789">
      <w:pPr>
        <w:autoSpaceDE w:val="0"/>
        <w:autoSpaceDN w:val="0"/>
        <w:adjustRightInd w:val="0"/>
        <w:spacing w:line="276" w:lineRule="auto"/>
        <w:ind w:left="720"/>
        <w:jc w:val="both"/>
        <w:rPr>
          <w:rFonts w:ascii="Times New Roman" w:hAnsi="Times New Roman" w:cs="Times New Roman"/>
          <w:color w:val="000000"/>
          <w:kern w:val="0"/>
          <w:sz w:val="22"/>
          <w:szCs w:val="22"/>
          <w14:ligatures w14:val="none"/>
        </w:rPr>
      </w:pPr>
    </w:p>
    <w:p w14:paraId="5C017A5D" w14:textId="556BC28E" w:rsidR="00872789" w:rsidRPr="00872789" w:rsidRDefault="00872789" w:rsidP="00872789">
      <w:pPr>
        <w:autoSpaceDE w:val="0"/>
        <w:autoSpaceDN w:val="0"/>
        <w:adjustRightInd w:val="0"/>
        <w:spacing w:line="276" w:lineRule="auto"/>
        <w:ind w:left="720"/>
        <w:jc w:val="both"/>
        <w:rPr>
          <w:rFonts w:ascii="Times New Roman" w:hAnsi="Times New Roman" w:cs="Times New Roman"/>
          <w:color w:val="000000"/>
          <w:kern w:val="0"/>
          <w:sz w:val="22"/>
          <w:szCs w:val="22"/>
          <w14:ligatures w14:val="none"/>
        </w:rPr>
      </w:pPr>
      <w:r w:rsidRPr="00872789">
        <w:rPr>
          <w:rFonts w:ascii="Times New Roman" w:hAnsi="Times New Roman" w:cs="Times New Roman"/>
          <w:color w:val="000000"/>
          <w:kern w:val="0"/>
          <w:sz w:val="22"/>
          <w:szCs w:val="22"/>
          <w14:ligatures w14:val="none"/>
        </w:rPr>
        <w:t xml:space="preserve">During a court ceremony held on September 22, 2023, the three courts of Prince Edward Island, the Prince Edward Island Court of Appeal, the Supreme Court of Prince Edward Island, and the Prince Edward Island Provincial Court, were presented with Eagle Feathers, to be used as a symbol which binds the conscience of its user. </w:t>
      </w:r>
    </w:p>
    <w:p w14:paraId="3FC031F4" w14:textId="77777777" w:rsidR="00872789" w:rsidRPr="00872789" w:rsidRDefault="00872789" w:rsidP="00872789">
      <w:pPr>
        <w:autoSpaceDE w:val="0"/>
        <w:autoSpaceDN w:val="0"/>
        <w:adjustRightInd w:val="0"/>
        <w:spacing w:line="276" w:lineRule="auto"/>
        <w:jc w:val="both"/>
        <w:rPr>
          <w:rFonts w:ascii="Times New Roman" w:hAnsi="Times New Roman" w:cs="Times New Roman"/>
          <w:color w:val="000000"/>
          <w:kern w:val="0"/>
          <w:sz w:val="22"/>
          <w:szCs w:val="22"/>
          <w14:ligatures w14:val="none"/>
        </w:rPr>
      </w:pPr>
    </w:p>
    <w:p w14:paraId="4B493442" w14:textId="77777777" w:rsidR="00872789" w:rsidRPr="00872789" w:rsidRDefault="00872789" w:rsidP="00872789">
      <w:pPr>
        <w:autoSpaceDE w:val="0"/>
        <w:autoSpaceDN w:val="0"/>
        <w:adjustRightInd w:val="0"/>
        <w:spacing w:line="276" w:lineRule="auto"/>
        <w:jc w:val="both"/>
        <w:rPr>
          <w:rFonts w:ascii="Times New Roman" w:hAnsi="Times New Roman" w:cs="Times New Roman"/>
          <w:color w:val="000000"/>
          <w:kern w:val="0"/>
          <w:sz w:val="22"/>
          <w:szCs w:val="22"/>
          <w14:ligatures w14:val="none"/>
        </w:rPr>
      </w:pPr>
    </w:p>
    <w:p w14:paraId="5266A0EA" w14:textId="77777777" w:rsidR="00872789" w:rsidRPr="00872789" w:rsidRDefault="00872789" w:rsidP="00872789">
      <w:pPr>
        <w:widowControl w:val="0"/>
        <w:numPr>
          <w:ilvl w:val="0"/>
          <w:numId w:val="1"/>
        </w:numPr>
        <w:autoSpaceDE w:val="0"/>
        <w:autoSpaceDN w:val="0"/>
        <w:adjustRightInd w:val="0"/>
        <w:spacing w:after="200" w:line="276" w:lineRule="auto"/>
        <w:contextualSpacing/>
        <w:rPr>
          <w:rFonts w:ascii="Times New Roman" w:eastAsia="Times New Roman" w:hAnsi="Times New Roman" w:cs="Times New Roman"/>
          <w:kern w:val="0"/>
          <w:sz w:val="22"/>
          <w:szCs w:val="22"/>
          <w:u w:val="single"/>
          <w14:ligatures w14:val="none"/>
        </w:rPr>
      </w:pPr>
      <w:r w:rsidRPr="00872789">
        <w:rPr>
          <w:rFonts w:ascii="Times New Roman" w:eastAsia="Times New Roman" w:hAnsi="Times New Roman" w:cs="Times New Roman"/>
          <w:kern w:val="0"/>
          <w:sz w:val="22"/>
          <w:szCs w:val="22"/>
          <w:u w:val="single"/>
          <w14:ligatures w14:val="none"/>
        </w:rPr>
        <w:t>Other Holy Book or Religious Symbol</w:t>
      </w:r>
    </w:p>
    <w:p w14:paraId="1A9E7AB1" w14:textId="77777777" w:rsidR="00EF0D95" w:rsidRDefault="00EF0D95" w:rsidP="00872789">
      <w:pPr>
        <w:autoSpaceDE w:val="0"/>
        <w:autoSpaceDN w:val="0"/>
        <w:adjustRightInd w:val="0"/>
        <w:spacing w:line="276" w:lineRule="auto"/>
        <w:ind w:left="720"/>
        <w:jc w:val="both"/>
        <w:rPr>
          <w:rFonts w:ascii="Times New Roman" w:hAnsi="Times New Roman" w:cs="Calibri"/>
          <w:color w:val="000000"/>
          <w:kern w:val="0"/>
          <w:sz w:val="22"/>
          <w:szCs w:val="22"/>
          <w14:ligatures w14:val="none"/>
        </w:rPr>
      </w:pPr>
    </w:p>
    <w:p w14:paraId="46382226" w14:textId="649A9DA4" w:rsidR="00872789" w:rsidRPr="00872789" w:rsidRDefault="00872789" w:rsidP="00872789">
      <w:pPr>
        <w:autoSpaceDE w:val="0"/>
        <w:autoSpaceDN w:val="0"/>
        <w:adjustRightInd w:val="0"/>
        <w:spacing w:line="276" w:lineRule="auto"/>
        <w:ind w:left="720"/>
        <w:jc w:val="both"/>
        <w:rPr>
          <w:rFonts w:ascii="Times New Roman" w:hAnsi="Times New Roman" w:cs="Times New Roman"/>
          <w:color w:val="000000"/>
          <w:kern w:val="0"/>
          <w:sz w:val="22"/>
          <w:szCs w:val="22"/>
          <w14:ligatures w14:val="none"/>
        </w:rPr>
      </w:pPr>
      <w:r w:rsidRPr="00872789">
        <w:rPr>
          <w:rFonts w:ascii="Times New Roman" w:hAnsi="Times New Roman" w:cs="Calibri"/>
          <w:color w:val="000000"/>
          <w:kern w:val="0"/>
          <w:sz w:val="22"/>
          <w:szCs w:val="22"/>
          <w14:ligatures w14:val="none"/>
        </w:rPr>
        <w:t>If a witness’ preference is to swear an oath on the Eagle Feather, or a Holy Book other than the Christian Bible</w:t>
      </w:r>
      <w:r w:rsidRPr="00872789">
        <w:rPr>
          <w:rFonts w:ascii="Times New Roman" w:hAnsi="Times New Roman" w:cs="Calibri"/>
          <w:kern w:val="0"/>
          <w:sz w:val="22"/>
          <w:szCs w:val="22"/>
          <w14:ligatures w14:val="none"/>
        </w:rPr>
        <w:t>, either the trial coordinator’s office (Supreme Court) or the clerk (Court of Appeal) is to be advised in advance</w:t>
      </w:r>
      <w:r w:rsidRPr="00872789">
        <w:rPr>
          <w:rFonts w:ascii="Times New Roman" w:hAnsi="Times New Roman" w:cs="Calibri"/>
          <w:color w:val="000000"/>
          <w:kern w:val="0"/>
          <w:sz w:val="22"/>
          <w:szCs w:val="22"/>
          <w14:ligatures w14:val="none"/>
        </w:rPr>
        <w:t xml:space="preserve"> of the hearing. F</w:t>
      </w:r>
      <w:r w:rsidRPr="00872789">
        <w:rPr>
          <w:rFonts w:ascii="Times New Roman" w:hAnsi="Times New Roman" w:cs="Times New Roman"/>
          <w:color w:val="000000"/>
          <w:kern w:val="0"/>
          <w:sz w:val="22"/>
          <w:szCs w:val="22"/>
          <w14:ligatures w14:val="none"/>
        </w:rPr>
        <w:t xml:space="preserve">urther </w:t>
      </w:r>
      <w:proofErr w:type="gramStart"/>
      <w:r w:rsidRPr="00872789">
        <w:rPr>
          <w:rFonts w:ascii="Times New Roman" w:hAnsi="Times New Roman" w:cs="Times New Roman"/>
          <w:color w:val="000000"/>
          <w:kern w:val="0"/>
          <w:sz w:val="22"/>
          <w:szCs w:val="22"/>
          <w14:ligatures w14:val="none"/>
        </w:rPr>
        <w:t>direction</w:t>
      </w:r>
      <w:proofErr w:type="gramEnd"/>
      <w:r w:rsidRPr="00872789">
        <w:rPr>
          <w:rFonts w:ascii="Times New Roman" w:hAnsi="Times New Roman" w:cs="Times New Roman"/>
          <w:color w:val="000000"/>
          <w:kern w:val="0"/>
          <w:sz w:val="22"/>
          <w:szCs w:val="22"/>
          <w14:ligatures w14:val="none"/>
        </w:rPr>
        <w:t xml:space="preserve"> will be provided by the court.</w:t>
      </w:r>
    </w:p>
    <w:bookmarkEnd w:id="0"/>
    <w:p w14:paraId="7282F048" w14:textId="77777777" w:rsidR="00872789" w:rsidRPr="00872789" w:rsidRDefault="00872789" w:rsidP="00872789">
      <w:pPr>
        <w:autoSpaceDE w:val="0"/>
        <w:autoSpaceDN w:val="0"/>
        <w:adjustRightInd w:val="0"/>
        <w:spacing w:line="276" w:lineRule="auto"/>
        <w:ind w:left="720"/>
        <w:jc w:val="both"/>
        <w:rPr>
          <w:rFonts w:ascii="Times New Roman" w:hAnsi="Times New Roman" w:cs="Times New Roman"/>
          <w:color w:val="000000"/>
          <w:kern w:val="0"/>
          <w:sz w:val="22"/>
          <w:szCs w:val="22"/>
          <w14:ligatures w14:val="none"/>
        </w:rPr>
      </w:pPr>
    </w:p>
    <w:p w14:paraId="097052BE" w14:textId="0E24FD32" w:rsidR="00ED1BFF" w:rsidRDefault="00ED1BFF" w:rsidP="00872789"/>
    <w:sectPr w:rsidR="00ED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50A9C"/>
    <w:multiLevelType w:val="hybridMultilevel"/>
    <w:tmpl w:val="9C4E017A"/>
    <w:lvl w:ilvl="0" w:tplc="0C7675C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97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89"/>
    <w:rsid w:val="000824AF"/>
    <w:rsid w:val="003E4C92"/>
    <w:rsid w:val="00424F8B"/>
    <w:rsid w:val="004C60FA"/>
    <w:rsid w:val="00872789"/>
    <w:rsid w:val="008D7D56"/>
    <w:rsid w:val="009230C7"/>
    <w:rsid w:val="009F7CD3"/>
    <w:rsid w:val="00B42811"/>
    <w:rsid w:val="00D62ABD"/>
    <w:rsid w:val="00E864A0"/>
    <w:rsid w:val="00ED1BFF"/>
    <w:rsid w:val="00EF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1B56"/>
  <w15:chartTrackingRefBased/>
  <w15:docId w15:val="{3EC34A8E-9209-434A-B1A2-0E04E586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7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7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27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27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27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27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27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7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7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27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27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27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27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27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27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7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7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27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2789"/>
    <w:rPr>
      <w:i/>
      <w:iCs/>
      <w:color w:val="404040" w:themeColor="text1" w:themeTint="BF"/>
    </w:rPr>
  </w:style>
  <w:style w:type="paragraph" w:styleId="ListParagraph">
    <w:name w:val="List Paragraph"/>
    <w:basedOn w:val="Normal"/>
    <w:uiPriority w:val="34"/>
    <w:qFormat/>
    <w:rsid w:val="00872789"/>
    <w:pPr>
      <w:ind w:left="720"/>
      <w:contextualSpacing/>
    </w:pPr>
  </w:style>
  <w:style w:type="character" w:styleId="IntenseEmphasis">
    <w:name w:val="Intense Emphasis"/>
    <w:basedOn w:val="DefaultParagraphFont"/>
    <w:uiPriority w:val="21"/>
    <w:qFormat/>
    <w:rsid w:val="00872789"/>
    <w:rPr>
      <w:i/>
      <w:iCs/>
      <w:color w:val="0F4761" w:themeColor="accent1" w:themeShade="BF"/>
    </w:rPr>
  </w:style>
  <w:style w:type="paragraph" w:styleId="IntenseQuote">
    <w:name w:val="Intense Quote"/>
    <w:basedOn w:val="Normal"/>
    <w:next w:val="Normal"/>
    <w:link w:val="IntenseQuoteChar"/>
    <w:uiPriority w:val="30"/>
    <w:qFormat/>
    <w:rsid w:val="00872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789"/>
    <w:rPr>
      <w:i/>
      <w:iCs/>
      <w:color w:val="0F4761" w:themeColor="accent1" w:themeShade="BF"/>
    </w:rPr>
  </w:style>
  <w:style w:type="character" w:styleId="IntenseReference">
    <w:name w:val="Intense Reference"/>
    <w:basedOn w:val="DefaultParagraphFont"/>
    <w:uiPriority w:val="32"/>
    <w:qFormat/>
    <w:rsid w:val="00872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Company>ITSS</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2025-08-21T17:23:00Z</dcterms:created>
  <dcterms:modified xsi:type="dcterms:W3CDTF">2025-08-25T16:14:00Z</dcterms:modified>
</cp:coreProperties>
</file>