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01AF" w14:textId="77777777" w:rsidR="00AE31C2" w:rsidRPr="00AE31C2" w:rsidRDefault="00AE31C2" w:rsidP="00AE31C2">
      <w:pPr>
        <w:spacing w:after="200" w:line="276" w:lineRule="auto"/>
        <w:jc w:val="center"/>
        <w:rPr>
          <w:rFonts w:ascii="Times New Roman" w:eastAsia="Times New Roman" w:hAnsi="Times New Roman" w:cs="Times New Roman"/>
          <w:kern w:val="0"/>
          <w:sz w:val="22"/>
          <w:szCs w:val="22"/>
          <w14:ligatures w14:val="none"/>
        </w:rPr>
      </w:pPr>
      <w:bookmarkStart w:id="0" w:name="_Hlk201305579"/>
      <w:r w:rsidRPr="00AE31C2">
        <w:rPr>
          <w:rFonts w:ascii="Times New Roman" w:eastAsia="Times New Roman" w:hAnsi="Times New Roman" w:cs="Times New Roman"/>
          <w:b/>
          <w:bCs/>
          <w:kern w:val="0"/>
          <w:sz w:val="22"/>
          <w:szCs w:val="22"/>
          <w14:ligatures w14:val="none"/>
        </w:rPr>
        <w:t xml:space="preserve">F. </w:t>
      </w:r>
      <w:bookmarkStart w:id="1" w:name="_Hlk200970218"/>
      <w:r w:rsidRPr="00AE31C2">
        <w:rPr>
          <w:rFonts w:ascii="Times New Roman" w:eastAsia="Times New Roman" w:hAnsi="Times New Roman" w:cs="Times New Roman"/>
          <w:b/>
          <w:bCs/>
          <w:kern w:val="0"/>
          <w:sz w:val="22"/>
          <w:szCs w:val="22"/>
          <w14:ligatures w14:val="none"/>
        </w:rPr>
        <w:t xml:space="preserve">    IDENTIFICATION OF PRONOUNS AND TITLES BY COURT PARTICIPANTS</w:t>
      </w:r>
    </w:p>
    <w:bookmarkEnd w:id="1"/>
    <w:p w14:paraId="2DD87E34" w14:textId="77777777" w:rsidR="00AE31C2" w:rsidRDefault="00AE31C2" w:rsidP="00AE31C2">
      <w:pPr>
        <w:widowControl w:val="0"/>
        <w:autoSpaceDE w:val="0"/>
        <w:autoSpaceDN w:val="0"/>
        <w:adjustRightInd w:val="0"/>
        <w:spacing w:line="276" w:lineRule="auto"/>
        <w:ind w:left="1350"/>
        <w:rPr>
          <w:rFonts w:ascii="Times New Roman" w:eastAsia="Times New Roman" w:hAnsi="Times New Roman" w:cs="Times New Roman"/>
          <w:b/>
          <w:bCs/>
          <w:kern w:val="0"/>
          <w:sz w:val="22"/>
          <w:szCs w:val="22"/>
          <w14:ligatures w14:val="none"/>
        </w:rPr>
      </w:pPr>
      <w:r w:rsidRPr="00AE31C2">
        <w:rPr>
          <w:rFonts w:ascii="Times New Roman" w:eastAsia="Times New Roman" w:hAnsi="Times New Roman" w:cs="Times New Roman"/>
          <w:b/>
          <w:bCs/>
          <w:kern w:val="0"/>
          <w:sz w:val="22"/>
          <w:szCs w:val="22"/>
          <w14:ligatures w14:val="none"/>
        </w:rPr>
        <w:t>(Joint Practice Direction of the Court of Appeal and Supreme Court)</w:t>
      </w:r>
    </w:p>
    <w:p w14:paraId="6357BF05" w14:textId="77777777" w:rsidR="009608F9" w:rsidRPr="00AE31C2" w:rsidRDefault="009608F9" w:rsidP="00AE31C2">
      <w:pPr>
        <w:widowControl w:val="0"/>
        <w:autoSpaceDE w:val="0"/>
        <w:autoSpaceDN w:val="0"/>
        <w:adjustRightInd w:val="0"/>
        <w:spacing w:line="276" w:lineRule="auto"/>
        <w:ind w:left="1350"/>
        <w:rPr>
          <w:rFonts w:ascii="Times New Roman" w:eastAsia="Times New Roman" w:hAnsi="Times New Roman" w:cs="Times New Roman"/>
          <w:b/>
          <w:bCs/>
          <w:kern w:val="0"/>
          <w:sz w:val="22"/>
          <w:szCs w:val="22"/>
          <w14:ligatures w14:val="none"/>
        </w:rPr>
      </w:pPr>
    </w:p>
    <w:p w14:paraId="656E4C62" w14:textId="77777777" w:rsidR="00AE31C2" w:rsidRPr="00AE31C2" w:rsidRDefault="00AE31C2" w:rsidP="00AE31C2">
      <w:pPr>
        <w:widowControl w:val="0"/>
        <w:numPr>
          <w:ilvl w:val="0"/>
          <w:numId w:val="2"/>
        </w:numPr>
        <w:autoSpaceDE w:val="0"/>
        <w:autoSpaceDN w:val="0"/>
        <w:adjustRightInd w:val="0"/>
        <w:spacing w:before="240" w:line="276" w:lineRule="auto"/>
        <w:contextualSpacing/>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u w:val="single"/>
          <w14:ligatures w14:val="none"/>
        </w:rPr>
        <w:t>Overview</w:t>
      </w:r>
    </w:p>
    <w:p w14:paraId="53752DFB" w14:textId="77777777" w:rsidR="00AE31C2" w:rsidRPr="00AE31C2" w:rsidRDefault="00AE31C2" w:rsidP="00AE31C2">
      <w:pPr>
        <w:widowControl w:val="0"/>
        <w:autoSpaceDE w:val="0"/>
        <w:autoSpaceDN w:val="0"/>
        <w:adjustRightInd w:val="0"/>
        <w:spacing w:before="240" w:line="276" w:lineRule="auto"/>
        <w:ind w:left="720"/>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The Court of Appeal and Supreme Court welcome parties, lawyers and other participants to advise the courts of their pronouns and titles. In doing so, the courts seek to foster an inclusive environment for proceedings in which all gender identities are recognized and respected.  This will also help the courts to avoid misgendering or otherwise misidentifying parties, lawyers and other participants in proceedings and in written decisions.</w:t>
      </w:r>
    </w:p>
    <w:p w14:paraId="5171E2FB" w14:textId="77777777" w:rsidR="00AE31C2" w:rsidRPr="00AE31C2" w:rsidRDefault="00AE31C2" w:rsidP="00AE31C2">
      <w:pPr>
        <w:widowControl w:val="0"/>
        <w:autoSpaceDE w:val="0"/>
        <w:autoSpaceDN w:val="0"/>
        <w:adjustRightInd w:val="0"/>
        <w:spacing w:before="240" w:line="276" w:lineRule="auto"/>
        <w:ind w:firstLine="720"/>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 xml:space="preserve">Examples of pronouns </w:t>
      </w:r>
      <w:proofErr w:type="gramStart"/>
      <w:r w:rsidRPr="00AE31C2">
        <w:rPr>
          <w:rFonts w:ascii="Times New Roman" w:eastAsia="Times New Roman" w:hAnsi="Times New Roman" w:cs="Times New Roman"/>
          <w:kern w:val="0"/>
          <w:sz w:val="22"/>
          <w:szCs w:val="22"/>
          <w14:ligatures w14:val="none"/>
        </w:rPr>
        <w:t>include, but</w:t>
      </w:r>
      <w:proofErr w:type="gramEnd"/>
      <w:r w:rsidRPr="00AE31C2">
        <w:rPr>
          <w:rFonts w:ascii="Times New Roman" w:eastAsia="Times New Roman" w:hAnsi="Times New Roman" w:cs="Times New Roman"/>
          <w:kern w:val="0"/>
          <w:sz w:val="22"/>
          <w:szCs w:val="22"/>
          <w14:ligatures w14:val="none"/>
        </w:rPr>
        <w:t xml:space="preserve"> are not limited </w:t>
      </w:r>
      <w:proofErr w:type="gramStart"/>
      <w:r w:rsidRPr="00AE31C2">
        <w:rPr>
          <w:rFonts w:ascii="Times New Roman" w:eastAsia="Times New Roman" w:hAnsi="Times New Roman" w:cs="Times New Roman"/>
          <w:kern w:val="0"/>
          <w:sz w:val="22"/>
          <w:szCs w:val="22"/>
          <w14:ligatures w14:val="none"/>
        </w:rPr>
        <w:t>to:</w:t>
      </w:r>
      <w:proofErr w:type="gramEnd"/>
      <w:r w:rsidRPr="00AE31C2">
        <w:rPr>
          <w:rFonts w:ascii="Times New Roman" w:eastAsia="Times New Roman" w:hAnsi="Times New Roman" w:cs="Times New Roman"/>
          <w:kern w:val="0"/>
          <w:sz w:val="22"/>
          <w:szCs w:val="22"/>
          <w14:ligatures w14:val="none"/>
        </w:rPr>
        <w:t xml:space="preserve"> she/her; he/him; and they/them.</w:t>
      </w:r>
    </w:p>
    <w:p w14:paraId="191D8723" w14:textId="77777777" w:rsidR="00AE31C2" w:rsidRDefault="00AE31C2" w:rsidP="00AE31C2">
      <w:pPr>
        <w:widowControl w:val="0"/>
        <w:autoSpaceDE w:val="0"/>
        <w:autoSpaceDN w:val="0"/>
        <w:adjustRightInd w:val="0"/>
        <w:spacing w:before="240" w:line="276" w:lineRule="auto"/>
        <w:ind w:firstLine="720"/>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 xml:space="preserve">Examples of titles </w:t>
      </w:r>
      <w:proofErr w:type="gramStart"/>
      <w:r w:rsidRPr="00AE31C2">
        <w:rPr>
          <w:rFonts w:ascii="Times New Roman" w:eastAsia="Times New Roman" w:hAnsi="Times New Roman" w:cs="Times New Roman"/>
          <w:kern w:val="0"/>
          <w:sz w:val="22"/>
          <w:szCs w:val="22"/>
          <w14:ligatures w14:val="none"/>
        </w:rPr>
        <w:t>include, but</w:t>
      </w:r>
      <w:proofErr w:type="gramEnd"/>
      <w:r w:rsidRPr="00AE31C2">
        <w:rPr>
          <w:rFonts w:ascii="Times New Roman" w:eastAsia="Times New Roman" w:hAnsi="Times New Roman" w:cs="Times New Roman"/>
          <w:kern w:val="0"/>
          <w:sz w:val="22"/>
          <w:szCs w:val="22"/>
          <w14:ligatures w14:val="none"/>
        </w:rPr>
        <w:t xml:space="preserve"> are not limited to: Ms.; Mrs.; Mr.; and Mx. (pronounced “mix”).</w:t>
      </w:r>
    </w:p>
    <w:p w14:paraId="3F1E8EE6" w14:textId="77777777" w:rsidR="009608F9" w:rsidRPr="00AE31C2" w:rsidRDefault="009608F9" w:rsidP="00AE31C2">
      <w:pPr>
        <w:widowControl w:val="0"/>
        <w:autoSpaceDE w:val="0"/>
        <w:autoSpaceDN w:val="0"/>
        <w:adjustRightInd w:val="0"/>
        <w:spacing w:before="240" w:line="276" w:lineRule="auto"/>
        <w:ind w:firstLine="720"/>
        <w:rPr>
          <w:rFonts w:ascii="Times New Roman" w:eastAsia="Times New Roman" w:hAnsi="Times New Roman" w:cs="Times New Roman"/>
          <w:kern w:val="0"/>
          <w:sz w:val="22"/>
          <w:szCs w:val="22"/>
          <w14:ligatures w14:val="none"/>
        </w:rPr>
      </w:pPr>
    </w:p>
    <w:p w14:paraId="1CD5F5ED" w14:textId="77777777" w:rsidR="00AE31C2" w:rsidRPr="00AE31C2" w:rsidRDefault="00AE31C2" w:rsidP="00AE31C2">
      <w:pPr>
        <w:widowControl w:val="0"/>
        <w:numPr>
          <w:ilvl w:val="0"/>
          <w:numId w:val="2"/>
        </w:numPr>
        <w:autoSpaceDE w:val="0"/>
        <w:autoSpaceDN w:val="0"/>
        <w:adjustRightInd w:val="0"/>
        <w:spacing w:before="240" w:line="276" w:lineRule="auto"/>
        <w:contextualSpacing/>
        <w:rPr>
          <w:rFonts w:ascii="Times New Roman" w:eastAsia="Times New Roman" w:hAnsi="Times New Roman" w:cs="Times New Roman"/>
          <w:kern w:val="0"/>
          <w:sz w:val="22"/>
          <w:szCs w:val="22"/>
          <w:u w:val="single"/>
          <w14:ligatures w14:val="none"/>
        </w:rPr>
      </w:pPr>
      <w:r w:rsidRPr="00AE31C2">
        <w:rPr>
          <w:rFonts w:ascii="Times New Roman" w:eastAsia="Times New Roman" w:hAnsi="Times New Roman" w:cs="Times New Roman"/>
          <w:kern w:val="0"/>
          <w:sz w:val="22"/>
          <w:szCs w:val="22"/>
          <w:u w:val="single"/>
          <w14:ligatures w14:val="none"/>
        </w:rPr>
        <w:t>Advising the Court</w:t>
      </w:r>
    </w:p>
    <w:p w14:paraId="57483F04" w14:textId="77777777" w:rsidR="00AE31C2" w:rsidRPr="00AE31C2" w:rsidRDefault="00AE31C2" w:rsidP="00AE31C2">
      <w:pPr>
        <w:widowControl w:val="0"/>
        <w:autoSpaceDE w:val="0"/>
        <w:autoSpaceDN w:val="0"/>
        <w:adjustRightInd w:val="0"/>
        <w:spacing w:before="240" w:line="276" w:lineRule="auto"/>
        <w:ind w:left="720"/>
        <w:contextualSpacing/>
        <w:rPr>
          <w:rFonts w:ascii="Times New Roman" w:eastAsia="Times New Roman" w:hAnsi="Times New Roman" w:cs="Times New Roman"/>
          <w:kern w:val="0"/>
          <w:sz w:val="22"/>
          <w:szCs w:val="22"/>
          <w:u w:val="single"/>
          <w14:ligatures w14:val="none"/>
        </w:rPr>
      </w:pPr>
    </w:p>
    <w:p w14:paraId="09A665F5" w14:textId="77777777" w:rsidR="00AE31C2" w:rsidRPr="00AE31C2" w:rsidRDefault="00AE31C2" w:rsidP="00AE31C2">
      <w:pPr>
        <w:widowControl w:val="0"/>
        <w:numPr>
          <w:ilvl w:val="0"/>
          <w:numId w:val="1"/>
        </w:numPr>
        <w:autoSpaceDE w:val="0"/>
        <w:autoSpaceDN w:val="0"/>
        <w:adjustRightInd w:val="0"/>
        <w:spacing w:before="240" w:after="160" w:line="276" w:lineRule="auto"/>
        <w:contextualSpacing/>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Parties, lawyers and other participants may provide their pronouns and titles in advance of their proceedings by contacting the Registrar in writing, including by email.  They are also welcome to advise the court clerk of their pronouns and titles prior to the start of a proceeding.</w:t>
      </w:r>
    </w:p>
    <w:p w14:paraId="4FA211E3" w14:textId="77777777" w:rsidR="00AE31C2" w:rsidRPr="00AE31C2" w:rsidRDefault="00AE31C2" w:rsidP="00AE31C2">
      <w:pPr>
        <w:spacing w:before="240" w:after="160" w:line="276" w:lineRule="auto"/>
        <w:ind w:left="1080"/>
        <w:contextualSpacing/>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 xml:space="preserve"> </w:t>
      </w:r>
    </w:p>
    <w:p w14:paraId="17951FE9" w14:textId="77777777" w:rsidR="00AE31C2" w:rsidRPr="00AE31C2" w:rsidRDefault="00AE31C2" w:rsidP="00AE31C2">
      <w:pPr>
        <w:widowControl w:val="0"/>
        <w:numPr>
          <w:ilvl w:val="0"/>
          <w:numId w:val="1"/>
        </w:numPr>
        <w:autoSpaceDE w:val="0"/>
        <w:autoSpaceDN w:val="0"/>
        <w:adjustRightInd w:val="0"/>
        <w:spacing w:before="240" w:after="160" w:line="276" w:lineRule="auto"/>
        <w:contextualSpacing/>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 xml:space="preserve">Lawyers and self-represented parties may also advise the court of the pronouns and titles of other participants attending the proceedings in relation to their matter, such as clients, support </w:t>
      </w:r>
      <w:proofErr w:type="gramStart"/>
      <w:r w:rsidRPr="00AE31C2">
        <w:rPr>
          <w:rFonts w:ascii="Times New Roman" w:eastAsia="Times New Roman" w:hAnsi="Times New Roman" w:cs="Times New Roman"/>
          <w:kern w:val="0"/>
          <w:sz w:val="22"/>
          <w:szCs w:val="22"/>
          <w14:ligatures w14:val="none"/>
        </w:rPr>
        <w:t>persons</w:t>
      </w:r>
      <w:proofErr w:type="gramEnd"/>
      <w:r w:rsidRPr="00AE31C2">
        <w:rPr>
          <w:rFonts w:ascii="Times New Roman" w:eastAsia="Times New Roman" w:hAnsi="Times New Roman" w:cs="Times New Roman"/>
          <w:kern w:val="0"/>
          <w:sz w:val="22"/>
          <w:szCs w:val="22"/>
          <w14:ligatures w14:val="none"/>
        </w:rPr>
        <w:t xml:space="preserve"> and witnesses.</w:t>
      </w:r>
    </w:p>
    <w:p w14:paraId="4EF5FD71" w14:textId="77777777" w:rsidR="00AE31C2" w:rsidRPr="00AE31C2" w:rsidRDefault="00AE31C2" w:rsidP="00AE31C2">
      <w:pPr>
        <w:widowControl w:val="0"/>
        <w:autoSpaceDE w:val="0"/>
        <w:autoSpaceDN w:val="0"/>
        <w:adjustRightInd w:val="0"/>
        <w:ind w:left="720"/>
        <w:contextualSpacing/>
        <w:rPr>
          <w:rFonts w:ascii="Times New Roman" w:eastAsia="Times New Roman" w:hAnsi="Times New Roman" w:cs="Times New Roman"/>
          <w:kern w:val="0"/>
          <w:sz w:val="22"/>
          <w:szCs w:val="22"/>
          <w14:ligatures w14:val="none"/>
        </w:rPr>
      </w:pPr>
    </w:p>
    <w:p w14:paraId="4E08C30C" w14:textId="77777777" w:rsidR="00AE31C2" w:rsidRPr="00AE31C2" w:rsidRDefault="00AE31C2" w:rsidP="00AE31C2">
      <w:pPr>
        <w:widowControl w:val="0"/>
        <w:numPr>
          <w:ilvl w:val="0"/>
          <w:numId w:val="1"/>
        </w:numPr>
        <w:autoSpaceDE w:val="0"/>
        <w:autoSpaceDN w:val="0"/>
        <w:adjustRightInd w:val="0"/>
        <w:spacing w:before="240" w:after="160" w:line="276" w:lineRule="auto"/>
        <w:contextualSpacing/>
        <w:rPr>
          <w:rFonts w:ascii="Times New Roman" w:eastAsia="Times New Roman" w:hAnsi="Times New Roman" w:cs="Times New Roman"/>
          <w:kern w:val="0"/>
          <w:sz w:val="22"/>
          <w:szCs w:val="22"/>
          <w14:ligatures w14:val="none"/>
        </w:rPr>
      </w:pPr>
      <w:r w:rsidRPr="00AE31C2">
        <w:rPr>
          <w:rFonts w:ascii="Times New Roman" w:eastAsia="Times New Roman" w:hAnsi="Times New Roman" w:cs="Times New Roman"/>
          <w:kern w:val="0"/>
          <w:sz w:val="22"/>
          <w:szCs w:val="22"/>
          <w14:ligatures w14:val="none"/>
        </w:rPr>
        <w:t>Informing the court of pronouns and titles is a matter of choice.  There is no obligation to do so.</w:t>
      </w:r>
    </w:p>
    <w:bookmarkEnd w:id="0"/>
    <w:p w14:paraId="47209C16" w14:textId="4A751D3E" w:rsidR="00ED1BFF" w:rsidRPr="00AE31C2" w:rsidRDefault="00ED1BFF" w:rsidP="00AE31C2">
      <w:pPr>
        <w:spacing w:after="200" w:line="276" w:lineRule="auto"/>
        <w:rPr>
          <w:rFonts w:ascii="Times New Roman" w:eastAsia="Times New Roman" w:hAnsi="Times New Roman" w:cs="Times New Roman"/>
          <w:i/>
          <w:iCs/>
          <w:kern w:val="0"/>
          <w:sz w:val="22"/>
          <w:szCs w:val="22"/>
          <w14:ligatures w14:val="none"/>
        </w:rPr>
      </w:pPr>
    </w:p>
    <w:sectPr w:rsidR="00ED1BFF" w:rsidRPr="00AE3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822"/>
    <w:multiLevelType w:val="hybridMultilevel"/>
    <w:tmpl w:val="4C3625DC"/>
    <w:lvl w:ilvl="0" w:tplc="D2D490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04233F"/>
    <w:multiLevelType w:val="hybridMultilevel"/>
    <w:tmpl w:val="768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674802">
    <w:abstractNumId w:val="0"/>
  </w:num>
  <w:num w:numId="2" w16cid:durableId="114531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C2"/>
    <w:rsid w:val="000824AF"/>
    <w:rsid w:val="003E4C92"/>
    <w:rsid w:val="00424F8B"/>
    <w:rsid w:val="004C60FA"/>
    <w:rsid w:val="008D7D56"/>
    <w:rsid w:val="009230C7"/>
    <w:rsid w:val="009608F9"/>
    <w:rsid w:val="009F7CD3"/>
    <w:rsid w:val="00AE31C2"/>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CC7"/>
  <w15:chartTrackingRefBased/>
  <w15:docId w15:val="{8DBB0EE3-C785-4724-BA62-FD5396B0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1C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1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31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31C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31C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31C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31C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1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1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31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31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31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31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31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3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1C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1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3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31C2"/>
    <w:rPr>
      <w:i/>
      <w:iCs/>
      <w:color w:val="404040" w:themeColor="text1" w:themeTint="BF"/>
    </w:rPr>
  </w:style>
  <w:style w:type="paragraph" w:styleId="ListParagraph">
    <w:name w:val="List Paragraph"/>
    <w:basedOn w:val="Normal"/>
    <w:uiPriority w:val="34"/>
    <w:qFormat/>
    <w:rsid w:val="00AE31C2"/>
    <w:pPr>
      <w:ind w:left="720"/>
      <w:contextualSpacing/>
    </w:pPr>
  </w:style>
  <w:style w:type="character" w:styleId="IntenseEmphasis">
    <w:name w:val="Intense Emphasis"/>
    <w:basedOn w:val="DefaultParagraphFont"/>
    <w:uiPriority w:val="21"/>
    <w:qFormat/>
    <w:rsid w:val="00AE31C2"/>
    <w:rPr>
      <w:i/>
      <w:iCs/>
      <w:color w:val="0F4761" w:themeColor="accent1" w:themeShade="BF"/>
    </w:rPr>
  </w:style>
  <w:style w:type="paragraph" w:styleId="IntenseQuote">
    <w:name w:val="Intense Quote"/>
    <w:basedOn w:val="Normal"/>
    <w:next w:val="Normal"/>
    <w:link w:val="IntenseQuoteChar"/>
    <w:uiPriority w:val="30"/>
    <w:qFormat/>
    <w:rsid w:val="00AE3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1C2"/>
    <w:rPr>
      <w:i/>
      <w:iCs/>
      <w:color w:val="0F4761" w:themeColor="accent1" w:themeShade="BF"/>
    </w:rPr>
  </w:style>
  <w:style w:type="character" w:styleId="IntenseReference">
    <w:name w:val="Intense Reference"/>
    <w:basedOn w:val="DefaultParagraphFont"/>
    <w:uiPriority w:val="32"/>
    <w:qFormat/>
    <w:rsid w:val="00AE31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Company>ITSS</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2025-08-21T17:21:00Z</dcterms:created>
  <dcterms:modified xsi:type="dcterms:W3CDTF">2025-08-25T16:13:00Z</dcterms:modified>
</cp:coreProperties>
</file>